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5E" w:rsidRPr="00C63C0A" w:rsidRDefault="00F95E5E" w:rsidP="001D78D7">
      <w:pPr>
        <w:jc w:val="center"/>
        <w:rPr>
          <w:rFonts w:asciiTheme="minorHAnsi" w:hAnsiTheme="minorHAnsi"/>
          <w:b/>
          <w:sz w:val="20"/>
          <w:lang w:val="en-GB"/>
        </w:rPr>
      </w:pPr>
      <w:r w:rsidRPr="00C63C0A">
        <w:rPr>
          <w:rFonts w:asciiTheme="minorHAnsi" w:hAnsiTheme="minorHAnsi"/>
          <w:b/>
          <w:noProof/>
          <w:sz w:val="20"/>
          <w:lang w:val="en-GB" w:eastAsia="en-GB"/>
        </w:rPr>
        <w:drawing>
          <wp:inline distT="0" distB="0" distL="0" distR="0" wp14:anchorId="355F2F18" wp14:editId="1F9E706F">
            <wp:extent cx="1447800" cy="714375"/>
            <wp:effectExtent l="0" t="0" r="0" b="9525"/>
            <wp:docPr id="1" name="Picture 1" descr="RHUL_Master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UL_Master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7" w:rsidRPr="00C63C0A" w:rsidRDefault="001D78D7" w:rsidP="001D78D7">
      <w:pPr>
        <w:jc w:val="center"/>
        <w:rPr>
          <w:rFonts w:asciiTheme="minorHAnsi" w:hAnsiTheme="minorHAnsi"/>
          <w:b/>
          <w:sz w:val="20"/>
          <w:lang w:val="en-GB"/>
        </w:rPr>
      </w:pPr>
      <w:r w:rsidRPr="00C63C0A">
        <w:rPr>
          <w:rFonts w:asciiTheme="minorHAnsi" w:hAnsiTheme="minorHAnsi"/>
          <w:b/>
          <w:sz w:val="20"/>
          <w:lang w:val="en-GB"/>
        </w:rPr>
        <w:t>School of Modern Languages, Literatures and Cultures</w:t>
      </w:r>
    </w:p>
    <w:p w:rsidR="001D78D7" w:rsidRPr="00C63C0A" w:rsidRDefault="003324D9" w:rsidP="001D78D7">
      <w:pPr>
        <w:jc w:val="center"/>
        <w:rPr>
          <w:rFonts w:asciiTheme="minorHAnsi" w:hAnsiTheme="minorHAnsi"/>
          <w:b/>
          <w:sz w:val="20"/>
          <w:lang w:val="en-GB"/>
        </w:rPr>
      </w:pPr>
      <w:r w:rsidRPr="00C63C0A">
        <w:rPr>
          <w:rFonts w:asciiTheme="minorHAnsi" w:hAnsiTheme="minorHAnsi"/>
          <w:b/>
          <w:sz w:val="20"/>
          <w:lang w:val="en-GB"/>
        </w:rPr>
        <w:t xml:space="preserve">CLC </w:t>
      </w:r>
      <w:r w:rsidR="009D1E37" w:rsidRPr="00C63C0A">
        <w:rPr>
          <w:rFonts w:asciiTheme="minorHAnsi" w:hAnsiTheme="minorHAnsi"/>
          <w:b/>
          <w:sz w:val="20"/>
          <w:lang w:val="en-GB"/>
        </w:rPr>
        <w:t xml:space="preserve">Second Year </w:t>
      </w:r>
      <w:r w:rsidR="001D78D7" w:rsidRPr="00C63C0A">
        <w:rPr>
          <w:rFonts w:asciiTheme="minorHAnsi" w:hAnsiTheme="minorHAnsi"/>
          <w:b/>
          <w:sz w:val="20"/>
          <w:lang w:val="en-GB"/>
        </w:rPr>
        <w:t>Registration 2017-18</w:t>
      </w:r>
    </w:p>
    <w:p w:rsidR="001D78D7" w:rsidRPr="00C63C0A" w:rsidRDefault="001D78D7" w:rsidP="001D78D7">
      <w:pPr>
        <w:jc w:val="center"/>
        <w:rPr>
          <w:rFonts w:asciiTheme="minorHAnsi" w:hAnsiTheme="minorHAnsi"/>
          <w:sz w:val="20"/>
        </w:rPr>
      </w:pPr>
      <w:r w:rsidRPr="00C63C0A">
        <w:rPr>
          <w:rFonts w:asciiTheme="minorHAnsi" w:hAnsiTheme="minorHAnsi"/>
          <w:b/>
          <w:sz w:val="20"/>
          <w:lang w:val="en-GB"/>
        </w:rPr>
        <w:t>(For completion by current First Years 2016-17)</w:t>
      </w:r>
    </w:p>
    <w:p w:rsidR="001D78D7" w:rsidRPr="00C63C0A" w:rsidRDefault="001D78D7">
      <w:pPr>
        <w:rPr>
          <w:rFonts w:asciiTheme="minorHAnsi" w:hAnsiTheme="minorHAnsi"/>
          <w:sz w:val="20"/>
        </w:rPr>
      </w:pPr>
    </w:p>
    <w:tbl>
      <w:tblPr>
        <w:tblW w:w="10218" w:type="dxa"/>
        <w:tblInd w:w="-58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34"/>
        <w:gridCol w:w="850"/>
        <w:gridCol w:w="1134"/>
      </w:tblGrid>
      <w:tr w:rsidR="001D78D7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D78D7" w:rsidRPr="00C63C0A" w:rsidRDefault="001D78D7">
            <w:pPr>
              <w:spacing w:line="120" w:lineRule="exact"/>
              <w:rPr>
                <w:rFonts w:asciiTheme="minorHAnsi" w:hAnsiTheme="minorHAnsi"/>
                <w:sz w:val="20"/>
                <w:lang w:val="en-GB"/>
              </w:rPr>
            </w:pPr>
          </w:p>
          <w:p w:rsidR="001D78D7" w:rsidRPr="00C63C0A" w:rsidRDefault="001D78D7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 xml:space="preserve">NAME: . . . . . . . . . . . . . . . . . . . . . . . . . . . . . . . . . . . . . . . . . . . . . . . . . . . . . . . . </w:t>
            </w:r>
          </w:p>
          <w:p w:rsidR="001D78D7" w:rsidRPr="00C63C0A" w:rsidRDefault="001D78D7" w:rsidP="00262907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 xml:space="preserve">DEGREE PROGRAMME: . . . . . . . . . . . . . . . . . . . . . . . . . . . . . . . . . . . . . . . </w:t>
            </w:r>
            <w:r w:rsidR="009811EF" w:rsidRPr="00C63C0A">
              <w:rPr>
                <w:rFonts w:asciiTheme="minorHAnsi" w:hAnsiTheme="minorHAnsi"/>
                <w:b/>
                <w:sz w:val="20"/>
                <w:lang w:val="en-GB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D7" w:rsidRPr="00C63C0A" w:rsidRDefault="001D78D7">
            <w:pPr>
              <w:widowControl/>
              <w:rPr>
                <w:rFonts w:asciiTheme="minorHAnsi" w:hAnsiTheme="minorHAnsi"/>
                <w:sz w:val="20"/>
              </w:rPr>
            </w:pPr>
          </w:p>
        </w:tc>
      </w:tr>
      <w:tr w:rsidR="001D78D7" w:rsidRPr="00C63C0A" w:rsidTr="001D78D7">
        <w:trPr>
          <w:trHeight w:val="480"/>
        </w:trPr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D78D7" w:rsidRPr="00C63C0A" w:rsidRDefault="00422A24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Your mandatory courses </w:t>
            </w:r>
            <w:r w:rsidR="003D5017">
              <w:rPr>
                <w:rFonts w:asciiTheme="minorHAnsi" w:hAnsiTheme="minorHAnsi"/>
                <w:sz w:val="20"/>
                <w:lang w:val="en-GB"/>
              </w:rPr>
              <w:t xml:space="preserve">ML2206 and ML2207 </w:t>
            </w: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will be added </w:t>
            </w:r>
            <w:r w:rsidR="005338FF" w:rsidRPr="00C63C0A">
              <w:rPr>
                <w:rFonts w:asciiTheme="minorHAnsi" w:hAnsiTheme="minorHAnsi"/>
                <w:sz w:val="20"/>
                <w:lang w:val="en-GB"/>
              </w:rPr>
              <w:t xml:space="preserve">automatically.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D78D7" w:rsidRPr="00C63C0A" w:rsidRDefault="001D78D7">
            <w:pPr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Credit</w:t>
            </w:r>
          </w:p>
          <w:p w:rsidR="001D78D7" w:rsidRPr="00C63C0A" w:rsidRDefault="001D78D7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Value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1D78D7" w:rsidRPr="00C63C0A" w:rsidRDefault="001D78D7" w:rsidP="001D78D7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rPr>
          <w:trHeight w:val="480"/>
        </w:trPr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C63C0A" w:rsidP="005338FF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>Choose 2 o</w:t>
            </w:r>
            <w:r w:rsidR="00816DA6" w:rsidRPr="00C63C0A">
              <w:rPr>
                <w:rFonts w:asciiTheme="minorHAnsi" w:hAnsiTheme="minorHAnsi"/>
                <w:b/>
                <w:sz w:val="20"/>
                <w:lang w:val="en-GB"/>
              </w:rPr>
              <w:t>f these</w:t>
            </w:r>
            <w:r w:rsidR="003D5017">
              <w:rPr>
                <w:rFonts w:asciiTheme="minorHAnsi" w:hAnsiTheme="minorHAnsi"/>
                <w:b/>
                <w:sz w:val="20"/>
                <w:lang w:val="en-GB"/>
              </w:rPr>
              <w:t xml:space="preserve"> ML options (</w:t>
            </w:r>
            <w:r w:rsidR="004623CA">
              <w:rPr>
                <w:rFonts w:asciiTheme="minorHAnsi" w:hAnsiTheme="minorHAnsi"/>
                <w:b/>
                <w:sz w:val="20"/>
                <w:lang w:val="en-GB"/>
              </w:rPr>
              <w:t>Single and Major CLC students</w:t>
            </w:r>
            <w:r w:rsidR="003D5017" w:rsidRPr="00A343D3">
              <w:rPr>
                <w:rFonts w:ascii="Calibri Light" w:hAnsi="Calibri Light"/>
                <w:b/>
                <w:sz w:val="20"/>
                <w:lang w:val="en-GB"/>
              </w:rPr>
              <w:t xml:space="preserve"> may choose more if you wish by ranking them in your options preferences below)</w:t>
            </w:r>
            <w:r w:rsidR="003D5017">
              <w:rPr>
                <w:rFonts w:ascii="Calibri Light" w:hAnsi="Calibri Light"/>
                <w:b/>
                <w:sz w:val="20"/>
                <w:lang w:val="en-GB"/>
              </w:rPr>
              <w:t>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5338FF" w:rsidRPr="00C63C0A" w:rsidRDefault="005338FF" w:rsidP="001D78D7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C63C0A" w:rsidRDefault="00C63C0A" w:rsidP="002D67E8">
            <w:pPr>
              <w:widowControl/>
              <w:rPr>
                <w:rFonts w:asciiTheme="minorHAnsi" w:hAnsiTheme="minorHAnsi"/>
                <w:sz w:val="20"/>
                <w:lang w:val="en-GB" w:eastAsia="en-GB"/>
              </w:rPr>
            </w:pPr>
            <w:r w:rsidRPr="00C63C0A">
              <w:rPr>
                <w:rFonts w:asciiTheme="minorHAnsi" w:hAnsiTheme="minorHAnsi"/>
                <w:sz w:val="20"/>
                <w:lang w:val="en-GB" w:eastAsia="en-GB"/>
              </w:rPr>
              <w:t xml:space="preserve">ML2205 A Special Theme in the Novel: Transgressions </w:t>
            </w:r>
            <w:r w:rsidRPr="00C63C0A">
              <w:rPr>
                <w:rFonts w:asciiTheme="minorHAnsi" w:hAnsiTheme="minorHAnsi"/>
                <w:b/>
                <w:sz w:val="20"/>
                <w:lang w:val="en-GB" w:eastAsia="en-GB"/>
              </w:rPr>
              <w:t>Term 2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C63C0A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C63C0A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63C0A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C63C0A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ML2305</w:t>
            </w:r>
            <w:r w:rsidRPr="00C63C0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63C0A">
              <w:rPr>
                <w:rFonts w:asciiTheme="minorHAnsi" w:eastAsia="Arial" w:hAnsiTheme="minorHAnsi"/>
                <w:sz w:val="20"/>
              </w:rPr>
              <w:t>Deviance, Defiance and Disorder in Early Modern Spanish and French Literature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AA14DE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63C0A" w:rsidRPr="00C63C0A" w:rsidRDefault="00C63C0A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2D67E8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C63C0A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ML2403 Gender and Clothing in Twentieth-Century Literature and Culture </w:t>
            </w: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>Term 1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D67E8" w:rsidRPr="00C63C0A" w:rsidRDefault="002D67E8" w:rsidP="002D67E8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D67E8" w:rsidRPr="00C63C0A" w:rsidRDefault="002D67E8" w:rsidP="002D67E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63C0A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C63C0A" w:rsidP="005338FF">
            <w:pPr>
              <w:spacing w:after="58"/>
              <w:rPr>
                <w:rFonts w:asciiTheme="minorHAnsi" w:hAnsiTheme="minorHAnsi"/>
                <w:sz w:val="20"/>
                <w:lang w:val="en-GB" w:eastAsia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ML2302 </w:t>
            </w:r>
            <w:r w:rsidRPr="00C63C0A">
              <w:rPr>
                <w:rFonts w:asciiTheme="minorHAnsi" w:hAnsiTheme="minorHAnsi"/>
                <w:sz w:val="20"/>
                <w:lang w:val="en-GB" w:eastAsia="en-GB"/>
              </w:rPr>
              <w:t>Visual Arts II: Genres and Movements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AA14DE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C63C0A" w:rsidRPr="00C63C0A" w:rsidRDefault="00C63C0A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63C0A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C63C0A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 w:eastAsia="en-GB"/>
              </w:rPr>
              <w:t>ML2101 International Film II: Readings and Representations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AA14DE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C63C0A" w:rsidRPr="00C63C0A" w:rsidRDefault="00C63C0A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F53304" w:rsidP="005338FF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 xml:space="preserve">And then rank the </w:t>
            </w:r>
            <w:r w:rsidR="005338FF" w:rsidRPr="00C63C0A">
              <w:rPr>
                <w:rFonts w:asciiTheme="minorHAnsi" w:hAnsiTheme="minorHAnsi"/>
                <w:b/>
                <w:sz w:val="20"/>
                <w:lang w:val="en-GB"/>
              </w:rPr>
              <w:t>following options in order of preference</w:t>
            </w: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 xml:space="preserve"> (Single Hons CLC</w:t>
            </w:r>
            <w:r w:rsidR="00816DA6" w:rsidRPr="00C63C0A">
              <w:rPr>
                <w:rFonts w:asciiTheme="minorHAnsi" w:hAnsiTheme="minorHAnsi"/>
                <w:b/>
                <w:sz w:val="20"/>
                <w:lang w:val="en-GB"/>
              </w:rPr>
              <w:t xml:space="preserve"> students should rank at least 9; Major CLC students at least </w:t>
            </w:r>
            <w:r w:rsidR="004623CA">
              <w:rPr>
                <w:rFonts w:asciiTheme="minorHAnsi" w:hAnsiTheme="minorHAnsi"/>
                <w:b/>
                <w:sz w:val="20"/>
                <w:lang w:val="en-GB"/>
              </w:rPr>
              <w:t>7)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5338FF" w:rsidRPr="00C63C0A" w:rsidRDefault="00816DA6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Options Ranking</w:t>
            </w:r>
          </w:p>
        </w:tc>
      </w:tr>
      <w:tr w:rsidR="00C63C0A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C63C0A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 w:eastAsia="en-GB"/>
              </w:rPr>
              <w:t xml:space="preserve">ML2205 A Special Theme in the Novel: Transgressions </w:t>
            </w:r>
            <w:r w:rsidRPr="00C63C0A">
              <w:rPr>
                <w:rFonts w:asciiTheme="minorHAnsi" w:hAnsiTheme="minorHAnsi"/>
                <w:b/>
                <w:sz w:val="20"/>
                <w:lang w:val="en-GB" w:eastAsia="en-GB"/>
              </w:rPr>
              <w:t>Term 2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AA14DE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63C0A" w:rsidRPr="00C63C0A" w:rsidRDefault="00C63C0A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63C0A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C63C0A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ML2305</w:t>
            </w:r>
            <w:r w:rsidRPr="00C63C0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63C0A">
              <w:rPr>
                <w:rFonts w:asciiTheme="minorHAnsi" w:eastAsia="Arial" w:hAnsiTheme="minorHAnsi"/>
                <w:sz w:val="20"/>
              </w:rPr>
              <w:t>Deviance, Defiance and Disorder in Early Modern Spanish and French Literature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AA14DE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63C0A" w:rsidRPr="00C63C0A" w:rsidRDefault="00C63C0A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63C0A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C63C0A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ML2403 Gender and Clothing in Twentieth-Century Literature and Culture </w:t>
            </w: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>Term 1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AA14DE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63C0A" w:rsidRPr="00C63C0A" w:rsidRDefault="00C63C0A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63C0A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C63C0A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ML2302 </w:t>
            </w:r>
            <w:r w:rsidRPr="00C63C0A">
              <w:rPr>
                <w:rFonts w:asciiTheme="minorHAnsi" w:hAnsiTheme="minorHAnsi"/>
                <w:sz w:val="20"/>
                <w:lang w:val="en-GB" w:eastAsia="en-GB"/>
              </w:rPr>
              <w:t>Visual Arts II: Genres and Movements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AA14DE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63C0A" w:rsidRPr="00C63C0A" w:rsidRDefault="00C63C0A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C63C0A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C63C0A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 w:eastAsia="en-GB"/>
              </w:rPr>
              <w:t>ML2101 International Film II: Readings and Representations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C63C0A" w:rsidRPr="00C63C0A" w:rsidRDefault="00AA14DE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63C0A" w:rsidRPr="00C63C0A" w:rsidRDefault="00C63C0A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FR2102 Writing Romance and Desire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FR2106 Cinema in France: From Modernism to the Postmodern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eastAsia="MS Mincho" w:hAnsiTheme="minorHAnsi"/>
                <w:sz w:val="20"/>
                <w:lang w:val="en-GB" w:eastAsia="ja-JP"/>
              </w:rPr>
              <w:t>GM2122 Death, Desire, Decline:</w:t>
            </w:r>
            <w:r w:rsidR="006C225E" w:rsidRPr="00C63C0A">
              <w:rPr>
                <w:rFonts w:asciiTheme="minorHAnsi" w:eastAsia="MS Mincho" w:hAnsiTheme="minorHAnsi"/>
                <w:sz w:val="20"/>
                <w:lang w:val="en-GB" w:eastAsia="ja-JP"/>
              </w:rPr>
              <w:t xml:space="preserve"> </w:t>
            </w:r>
            <w:r w:rsidRPr="00C63C0A">
              <w:rPr>
                <w:rFonts w:asciiTheme="minorHAnsi" w:eastAsia="MS Mincho" w:hAnsiTheme="minorHAnsi"/>
                <w:sz w:val="20"/>
                <w:lang w:val="en-GB" w:eastAsia="ja-JP"/>
              </w:rPr>
              <w:t xml:space="preserve">Thomas Mann and Franz Kafka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rPr>
          <w:trHeight w:val="268"/>
        </w:trPr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pStyle w:val="Heading1"/>
              <w:rPr>
                <w:rFonts w:asciiTheme="minorHAnsi" w:hAnsiTheme="minorHAnsi"/>
                <w:b w:val="0"/>
                <w:bCs/>
                <w:sz w:val="20"/>
              </w:rPr>
            </w:pPr>
            <w:r w:rsidRPr="00C63C0A">
              <w:rPr>
                <w:rFonts w:asciiTheme="minorHAnsi" w:hAnsiTheme="minorHAnsi"/>
                <w:b w:val="0"/>
                <w:bCs/>
                <w:sz w:val="20"/>
              </w:rPr>
              <w:t xml:space="preserve">GM2123 Love and Marriage in Major Novels by Theodor </w:t>
            </w:r>
            <w:proofErr w:type="spellStart"/>
            <w:r w:rsidRPr="00C63C0A">
              <w:rPr>
                <w:rFonts w:asciiTheme="minorHAnsi" w:hAnsiTheme="minorHAnsi"/>
                <w:b w:val="0"/>
                <w:bCs/>
                <w:sz w:val="20"/>
              </w:rPr>
              <w:t>Fontane</w:t>
            </w:r>
            <w:proofErr w:type="spellEnd"/>
            <w:r w:rsidRPr="00C63C0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GM2124 Representations of Childhood and Youth in Modern German Culture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SN2013 Constructing Identity in Contemporary Spanish Film </w:t>
            </w: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 xml:space="preserve">Term 1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SN2113 Twentieth Century Mexican Visual Arts and Film </w:t>
            </w: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 xml:space="preserve">Term 2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SN2122 Rebels, Revolution and Representation in Latin America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b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 xml:space="preserve">IT2340 Post-war Italian Cinema </w:t>
            </w:r>
            <w:r w:rsidRPr="00C63C0A">
              <w:rPr>
                <w:rFonts w:asciiTheme="minorHAnsi" w:hAnsiTheme="minorHAnsi"/>
                <w:b/>
                <w:sz w:val="20"/>
                <w:lang w:val="en-GB"/>
              </w:rPr>
              <w:t xml:space="preserve">Term 2 only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</w:rPr>
            </w:pPr>
            <w:r w:rsidRPr="00C63C0A">
              <w:rPr>
                <w:rFonts w:asciiTheme="minorHAnsi" w:hAnsiTheme="minorHAnsi"/>
                <w:sz w:val="20"/>
              </w:rPr>
              <w:t xml:space="preserve">IT2840 Italian Crime Fiction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</w:rPr>
            </w:pPr>
            <w:r w:rsidRPr="00C63C0A">
              <w:rPr>
                <w:rFonts w:asciiTheme="minorHAnsi" w:hAnsiTheme="minorHAnsi"/>
                <w:bCs/>
                <w:sz w:val="20"/>
              </w:rPr>
              <w:t xml:space="preserve">IT2400 Art and Literature in Renaissance Florence </w:t>
            </w:r>
            <w:r w:rsidRPr="00C63C0A">
              <w:rPr>
                <w:rFonts w:asciiTheme="minorHAnsi" w:hAnsiTheme="minorHAnsi"/>
                <w:b/>
                <w:bCs/>
                <w:sz w:val="20"/>
              </w:rPr>
              <w:t>Term 1 only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338FF" w:rsidRPr="00C63C0A" w:rsidRDefault="005338FF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6C225E" w:rsidRPr="00C63C0A" w:rsidTr="001D78D7"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225E" w:rsidRPr="00C63C0A" w:rsidRDefault="00816DA6" w:rsidP="005338FF">
            <w:pPr>
              <w:spacing w:after="58"/>
              <w:rPr>
                <w:rFonts w:asciiTheme="minorHAnsi" w:hAnsiTheme="minorHAnsi"/>
                <w:b/>
                <w:bCs/>
                <w:sz w:val="20"/>
              </w:rPr>
            </w:pPr>
            <w:r w:rsidRPr="00C63C0A">
              <w:rPr>
                <w:rFonts w:asciiTheme="minorHAnsi" w:hAnsiTheme="minorHAnsi"/>
                <w:b/>
                <w:bCs/>
                <w:sz w:val="20"/>
              </w:rPr>
              <w:t xml:space="preserve">Single and Major students who took FR1009, FR1010, GM1009, GM1010, IT1000, IT1050, SN1001 </w:t>
            </w:r>
            <w:r w:rsidR="00C63C0A" w:rsidRPr="00C63C0A">
              <w:rPr>
                <w:rFonts w:asciiTheme="minorHAnsi" w:hAnsiTheme="minorHAnsi"/>
                <w:b/>
                <w:bCs/>
                <w:sz w:val="20"/>
              </w:rPr>
              <w:t>or</w:t>
            </w:r>
            <w:r w:rsidRPr="00C63C0A">
              <w:rPr>
                <w:rFonts w:asciiTheme="minorHAnsi" w:hAnsiTheme="minorHAnsi"/>
                <w:b/>
                <w:bCs/>
                <w:sz w:val="20"/>
              </w:rPr>
              <w:t xml:space="preserve"> SN1010 may opt for another year of that language at 30 credits outside of the preference ranking. Please write whichever of FR2009, FR2010, GM2009,</w:t>
            </w:r>
            <w:r w:rsidR="00C63C0A" w:rsidRPr="00C63C0A">
              <w:rPr>
                <w:rFonts w:asciiTheme="minorHAnsi" w:hAnsiTheme="minorHAnsi"/>
                <w:b/>
                <w:bCs/>
                <w:sz w:val="20"/>
              </w:rPr>
              <w:t xml:space="preserve"> GM2010, IT2000, IT2050, SN2001 or</w:t>
            </w:r>
            <w:r w:rsidR="003D5017">
              <w:rPr>
                <w:rFonts w:asciiTheme="minorHAnsi" w:hAnsiTheme="minorHAnsi"/>
                <w:b/>
                <w:bCs/>
                <w:sz w:val="20"/>
              </w:rPr>
              <w:t xml:space="preserve"> SN2010 </w:t>
            </w:r>
            <w:r w:rsidRPr="00C63C0A">
              <w:rPr>
                <w:rFonts w:asciiTheme="minorHAnsi" w:hAnsiTheme="minorHAnsi"/>
                <w:b/>
                <w:bCs/>
                <w:sz w:val="20"/>
              </w:rPr>
              <w:t xml:space="preserve">is relevant in the ‘course ranking’ column opposite and adjust your preference ranking down by 30 credits.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C225E" w:rsidRPr="00C63C0A" w:rsidRDefault="00816DA6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C225E" w:rsidRPr="00C63C0A" w:rsidRDefault="006C225E" w:rsidP="005338FF">
            <w:pPr>
              <w:spacing w:after="58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5338FF" w:rsidRPr="00C63C0A" w:rsidTr="009811EF">
        <w:trPr>
          <w:trHeight w:val="1083"/>
        </w:trPr>
        <w:tc>
          <w:tcPr>
            <w:tcW w:w="82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38FF" w:rsidRPr="00C63C0A" w:rsidRDefault="005338FF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5338FF" w:rsidRPr="00C63C0A" w:rsidRDefault="005338FF" w:rsidP="005338FF">
            <w:pPr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Personal Advisor’s Name: . . . . . . . . . . . . . . . . . . . . . . . . . . . . . . . . . . .</w:t>
            </w:r>
          </w:p>
          <w:p w:rsidR="005338FF" w:rsidRPr="00C63C0A" w:rsidRDefault="005338FF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5338FF" w:rsidRPr="00C63C0A" w:rsidRDefault="005338FF" w:rsidP="005338FF">
            <w:pPr>
              <w:rPr>
                <w:rFonts w:asciiTheme="minorHAnsi" w:hAnsiTheme="minorHAnsi"/>
                <w:sz w:val="20"/>
                <w:lang w:val="en-GB"/>
              </w:rPr>
            </w:pPr>
            <w:r w:rsidRPr="00C63C0A">
              <w:rPr>
                <w:rFonts w:asciiTheme="minorHAnsi" w:hAnsiTheme="minorHAnsi"/>
                <w:sz w:val="20"/>
                <w:lang w:val="en-GB"/>
              </w:rPr>
              <w:t>Personal Advisor’s Signature: . . . . . . . . . . . . . . . . . . . . . . . . . . . . . . . .</w:t>
            </w:r>
          </w:p>
          <w:p w:rsidR="005338FF" w:rsidRPr="00C63C0A" w:rsidRDefault="005338FF" w:rsidP="005338FF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FF" w:rsidRPr="00C63C0A" w:rsidRDefault="005338FF" w:rsidP="005338FF">
            <w:pPr>
              <w:widowControl/>
              <w:rPr>
                <w:rFonts w:asciiTheme="minorHAnsi" w:hAnsiTheme="minorHAnsi"/>
                <w:sz w:val="20"/>
              </w:rPr>
            </w:pPr>
          </w:p>
          <w:p w:rsidR="005338FF" w:rsidRPr="00C63C0A" w:rsidRDefault="005338FF" w:rsidP="005338FF">
            <w:pPr>
              <w:widowControl/>
              <w:rPr>
                <w:rFonts w:asciiTheme="minorHAnsi" w:hAnsiTheme="minorHAnsi"/>
                <w:sz w:val="20"/>
              </w:rPr>
            </w:pPr>
          </w:p>
          <w:p w:rsidR="005338FF" w:rsidRPr="00C63C0A" w:rsidRDefault="005338FF" w:rsidP="005338FF">
            <w:pPr>
              <w:widowControl/>
              <w:rPr>
                <w:rFonts w:asciiTheme="minorHAnsi" w:hAnsiTheme="minorHAnsi"/>
                <w:sz w:val="20"/>
              </w:rPr>
            </w:pPr>
          </w:p>
          <w:p w:rsidR="005338FF" w:rsidRPr="00C63C0A" w:rsidRDefault="005338FF" w:rsidP="005338FF">
            <w:pPr>
              <w:widowControl/>
              <w:rPr>
                <w:rFonts w:asciiTheme="minorHAnsi" w:hAnsiTheme="minorHAnsi"/>
                <w:sz w:val="20"/>
              </w:rPr>
            </w:pPr>
            <w:r w:rsidRPr="00C63C0A">
              <w:rPr>
                <w:rFonts w:asciiTheme="minorHAnsi" w:hAnsiTheme="minorHAnsi"/>
                <w:sz w:val="20"/>
              </w:rPr>
              <w:t>Date: . . . . . . . . .</w:t>
            </w:r>
          </w:p>
        </w:tc>
      </w:tr>
    </w:tbl>
    <w:p w:rsidR="00F17787" w:rsidRPr="00C63C0A" w:rsidRDefault="00F17787" w:rsidP="009811EF">
      <w:pPr>
        <w:rPr>
          <w:rFonts w:asciiTheme="minorHAnsi" w:hAnsiTheme="minorHAnsi"/>
          <w:sz w:val="20"/>
          <w:lang w:val="en-GB"/>
        </w:rPr>
      </w:pPr>
    </w:p>
    <w:sectPr w:rsidR="00F17787" w:rsidRPr="00C63C0A" w:rsidSect="00DE04CE">
      <w:footerReference w:type="default" r:id="rId8"/>
      <w:endnotePr>
        <w:numFmt w:val="decimal"/>
      </w:endnotePr>
      <w:pgSz w:w="11905" w:h="16837"/>
      <w:pgMar w:top="567" w:right="958" w:bottom="567" w:left="1418" w:header="79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86" w:rsidRDefault="00DC7F86">
      <w:r>
        <w:separator/>
      </w:r>
    </w:p>
  </w:endnote>
  <w:endnote w:type="continuationSeparator" w:id="0">
    <w:p w:rsidR="00DC7F86" w:rsidRDefault="00DC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86" w:rsidRPr="009C4C23" w:rsidRDefault="00B25E3D" w:rsidP="00904110">
    <w:pPr>
      <w:overflowPunct w:val="0"/>
      <w:autoSpaceDE w:val="0"/>
      <w:autoSpaceDN w:val="0"/>
      <w:adjustRightInd w:val="0"/>
      <w:jc w:val="both"/>
      <w:textAlignment w:val="baseline"/>
      <w:rPr>
        <w:rFonts w:eastAsia="Calibri"/>
        <w:sz w:val="22"/>
        <w:szCs w:val="18"/>
        <w:lang w:val="en-GB" w:eastAsia="en-GB"/>
      </w:rPr>
    </w:pPr>
    <w:r w:rsidRPr="009C4C23">
      <w:rPr>
        <w:rFonts w:eastAsia="Calibri"/>
        <w:sz w:val="22"/>
        <w:szCs w:val="18"/>
        <w:lang w:val="en-GB" w:eastAsia="en-GB"/>
      </w:rPr>
      <w:t>Descriptions of courses are available on the web:</w:t>
    </w:r>
  </w:p>
  <w:p w:rsidR="00DC7F86" w:rsidRPr="009C4C23" w:rsidRDefault="00AA14DE" w:rsidP="00904110">
    <w:pPr>
      <w:overflowPunct w:val="0"/>
      <w:autoSpaceDE w:val="0"/>
      <w:autoSpaceDN w:val="0"/>
      <w:adjustRightInd w:val="0"/>
      <w:jc w:val="both"/>
      <w:textAlignment w:val="baseline"/>
      <w:rPr>
        <w:rFonts w:eastAsia="Calibri"/>
        <w:color w:val="0000FF"/>
        <w:sz w:val="22"/>
        <w:szCs w:val="18"/>
        <w:u w:val="single"/>
        <w:lang w:val="en-GB" w:eastAsia="en-GB"/>
      </w:rPr>
    </w:pPr>
    <w:hyperlink r:id="rId1" w:history="1">
      <w:r w:rsidR="00B25E3D" w:rsidRPr="009C4C23">
        <w:rPr>
          <w:rFonts w:eastAsia="Calibri"/>
          <w:color w:val="0000FF"/>
          <w:sz w:val="22"/>
          <w:szCs w:val="18"/>
          <w:u w:val="single"/>
          <w:lang w:val="en-GB" w:eastAsia="en-GB"/>
        </w:rPr>
        <w:t>http://www.rhul.ac.uk/mllc/informationforcurrentstudents/home.aspx</w:t>
      </w:r>
    </w:hyperlink>
  </w:p>
  <w:p w:rsidR="00DC7F86" w:rsidRPr="009C4C23" w:rsidRDefault="00DC7F86" w:rsidP="00904110">
    <w:pPr>
      <w:overflowPunct w:val="0"/>
      <w:autoSpaceDE w:val="0"/>
      <w:autoSpaceDN w:val="0"/>
      <w:adjustRightInd w:val="0"/>
      <w:jc w:val="both"/>
      <w:textAlignment w:val="baseline"/>
      <w:rPr>
        <w:rFonts w:eastAsia="Calibri"/>
        <w:sz w:val="22"/>
        <w:szCs w:val="18"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86" w:rsidRDefault="00DC7F86">
      <w:r>
        <w:separator/>
      </w:r>
    </w:p>
  </w:footnote>
  <w:footnote w:type="continuationSeparator" w:id="0">
    <w:p w:rsidR="00DC7F86" w:rsidRDefault="00DC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650"/>
    <w:multiLevelType w:val="hybridMultilevel"/>
    <w:tmpl w:val="E0C80F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A787DC1"/>
    <w:multiLevelType w:val="hybridMultilevel"/>
    <w:tmpl w:val="D5C8D0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28"/>
    <w:rsid w:val="00020AA8"/>
    <w:rsid w:val="00024457"/>
    <w:rsid w:val="000279D5"/>
    <w:rsid w:val="00036039"/>
    <w:rsid w:val="00061071"/>
    <w:rsid w:val="00061E03"/>
    <w:rsid w:val="000B03A7"/>
    <w:rsid w:val="000B1374"/>
    <w:rsid w:val="000B2922"/>
    <w:rsid w:val="000C03C5"/>
    <w:rsid w:val="000D4995"/>
    <w:rsid w:val="000F1A7A"/>
    <w:rsid w:val="001125E2"/>
    <w:rsid w:val="00160F70"/>
    <w:rsid w:val="0017622F"/>
    <w:rsid w:val="001B2091"/>
    <w:rsid w:val="001C48CF"/>
    <w:rsid w:val="001D78D7"/>
    <w:rsid w:val="001E4FD7"/>
    <w:rsid w:val="00246780"/>
    <w:rsid w:val="0025188B"/>
    <w:rsid w:val="002525CA"/>
    <w:rsid w:val="00262907"/>
    <w:rsid w:val="00282CBC"/>
    <w:rsid w:val="002A6BB8"/>
    <w:rsid w:val="002B31F7"/>
    <w:rsid w:val="002C7E54"/>
    <w:rsid w:val="002D67E8"/>
    <w:rsid w:val="003065CD"/>
    <w:rsid w:val="00311F09"/>
    <w:rsid w:val="00312A61"/>
    <w:rsid w:val="00323414"/>
    <w:rsid w:val="003324D9"/>
    <w:rsid w:val="00342115"/>
    <w:rsid w:val="00342FC4"/>
    <w:rsid w:val="003441D3"/>
    <w:rsid w:val="00382DF7"/>
    <w:rsid w:val="003956A5"/>
    <w:rsid w:val="00397C9C"/>
    <w:rsid w:val="003A0CF1"/>
    <w:rsid w:val="003A549A"/>
    <w:rsid w:val="003B3CF5"/>
    <w:rsid w:val="003B6F51"/>
    <w:rsid w:val="003C54BE"/>
    <w:rsid w:val="003D2C5C"/>
    <w:rsid w:val="003D5017"/>
    <w:rsid w:val="003E4E9A"/>
    <w:rsid w:val="00417EEE"/>
    <w:rsid w:val="00422A24"/>
    <w:rsid w:val="004623CA"/>
    <w:rsid w:val="00493C61"/>
    <w:rsid w:val="004973F7"/>
    <w:rsid w:val="004B37C5"/>
    <w:rsid w:val="004D7D90"/>
    <w:rsid w:val="004D7E2C"/>
    <w:rsid w:val="00505BA5"/>
    <w:rsid w:val="00533552"/>
    <w:rsid w:val="005338FF"/>
    <w:rsid w:val="0054290D"/>
    <w:rsid w:val="00547DA3"/>
    <w:rsid w:val="00574061"/>
    <w:rsid w:val="005A53F1"/>
    <w:rsid w:val="005B2F88"/>
    <w:rsid w:val="005B483A"/>
    <w:rsid w:val="005C142A"/>
    <w:rsid w:val="005D24F7"/>
    <w:rsid w:val="005D4BB8"/>
    <w:rsid w:val="005E23D9"/>
    <w:rsid w:val="00612A33"/>
    <w:rsid w:val="00626C35"/>
    <w:rsid w:val="00630FC9"/>
    <w:rsid w:val="00664520"/>
    <w:rsid w:val="00666731"/>
    <w:rsid w:val="006713F1"/>
    <w:rsid w:val="00680D6F"/>
    <w:rsid w:val="006C225E"/>
    <w:rsid w:val="006E18EB"/>
    <w:rsid w:val="006E4E61"/>
    <w:rsid w:val="00715356"/>
    <w:rsid w:val="00733150"/>
    <w:rsid w:val="007441C2"/>
    <w:rsid w:val="00773E0F"/>
    <w:rsid w:val="007841CE"/>
    <w:rsid w:val="007A1278"/>
    <w:rsid w:val="007A2631"/>
    <w:rsid w:val="007C2F70"/>
    <w:rsid w:val="007E1119"/>
    <w:rsid w:val="007F0EBC"/>
    <w:rsid w:val="007F3A9D"/>
    <w:rsid w:val="0081065A"/>
    <w:rsid w:val="00816DA6"/>
    <w:rsid w:val="0083253E"/>
    <w:rsid w:val="008466A9"/>
    <w:rsid w:val="00872CE0"/>
    <w:rsid w:val="0087707F"/>
    <w:rsid w:val="00884821"/>
    <w:rsid w:val="00890F1A"/>
    <w:rsid w:val="0089446B"/>
    <w:rsid w:val="008C7642"/>
    <w:rsid w:val="008E2959"/>
    <w:rsid w:val="00904110"/>
    <w:rsid w:val="009225C2"/>
    <w:rsid w:val="00935772"/>
    <w:rsid w:val="009403DF"/>
    <w:rsid w:val="009811EF"/>
    <w:rsid w:val="00994B44"/>
    <w:rsid w:val="009B7C28"/>
    <w:rsid w:val="009C4C23"/>
    <w:rsid w:val="009D1E37"/>
    <w:rsid w:val="009D6349"/>
    <w:rsid w:val="009E3903"/>
    <w:rsid w:val="00A052E3"/>
    <w:rsid w:val="00A13C5B"/>
    <w:rsid w:val="00A43BA1"/>
    <w:rsid w:val="00A64B68"/>
    <w:rsid w:val="00A7374D"/>
    <w:rsid w:val="00A876C4"/>
    <w:rsid w:val="00AA14DE"/>
    <w:rsid w:val="00AA7AB2"/>
    <w:rsid w:val="00AB142D"/>
    <w:rsid w:val="00AB1818"/>
    <w:rsid w:val="00AB2A44"/>
    <w:rsid w:val="00AB39E1"/>
    <w:rsid w:val="00AD1776"/>
    <w:rsid w:val="00AE65AF"/>
    <w:rsid w:val="00B25E3D"/>
    <w:rsid w:val="00B504C5"/>
    <w:rsid w:val="00B53F19"/>
    <w:rsid w:val="00B61742"/>
    <w:rsid w:val="00B625EC"/>
    <w:rsid w:val="00B647D1"/>
    <w:rsid w:val="00BB317F"/>
    <w:rsid w:val="00BB6096"/>
    <w:rsid w:val="00BF10A4"/>
    <w:rsid w:val="00BF2D35"/>
    <w:rsid w:val="00C20982"/>
    <w:rsid w:val="00C3667B"/>
    <w:rsid w:val="00C412DB"/>
    <w:rsid w:val="00C5060A"/>
    <w:rsid w:val="00C63C0A"/>
    <w:rsid w:val="00C9325C"/>
    <w:rsid w:val="00C97D25"/>
    <w:rsid w:val="00CC10EE"/>
    <w:rsid w:val="00CC598B"/>
    <w:rsid w:val="00CD27DE"/>
    <w:rsid w:val="00CD4DB6"/>
    <w:rsid w:val="00CD7DD0"/>
    <w:rsid w:val="00CE2F41"/>
    <w:rsid w:val="00CF4EC1"/>
    <w:rsid w:val="00D2224D"/>
    <w:rsid w:val="00D347AB"/>
    <w:rsid w:val="00D3576F"/>
    <w:rsid w:val="00D3746D"/>
    <w:rsid w:val="00D4188B"/>
    <w:rsid w:val="00D61514"/>
    <w:rsid w:val="00D67A93"/>
    <w:rsid w:val="00D73E67"/>
    <w:rsid w:val="00D776E8"/>
    <w:rsid w:val="00D867AB"/>
    <w:rsid w:val="00D947D0"/>
    <w:rsid w:val="00DB10EC"/>
    <w:rsid w:val="00DB5895"/>
    <w:rsid w:val="00DC3066"/>
    <w:rsid w:val="00DC3FA7"/>
    <w:rsid w:val="00DC7F86"/>
    <w:rsid w:val="00DE04CE"/>
    <w:rsid w:val="00DF7325"/>
    <w:rsid w:val="00DF7968"/>
    <w:rsid w:val="00E02BC4"/>
    <w:rsid w:val="00E20111"/>
    <w:rsid w:val="00E47A4E"/>
    <w:rsid w:val="00E541D5"/>
    <w:rsid w:val="00E55901"/>
    <w:rsid w:val="00E8485A"/>
    <w:rsid w:val="00ED08E9"/>
    <w:rsid w:val="00F02148"/>
    <w:rsid w:val="00F03379"/>
    <w:rsid w:val="00F16050"/>
    <w:rsid w:val="00F17787"/>
    <w:rsid w:val="00F2271A"/>
    <w:rsid w:val="00F26171"/>
    <w:rsid w:val="00F404B3"/>
    <w:rsid w:val="00F53304"/>
    <w:rsid w:val="00F53F5B"/>
    <w:rsid w:val="00F70735"/>
    <w:rsid w:val="00F95E5E"/>
    <w:rsid w:val="00FC0262"/>
    <w:rsid w:val="00FC541E"/>
    <w:rsid w:val="00FF19CE"/>
    <w:rsid w:val="00FF24A5"/>
    <w:rsid w:val="00FF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6E247-45B3-4285-B6B9-E7CFA8C4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7B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67B"/>
    <w:pPr>
      <w:keepNext/>
      <w:spacing w:after="58"/>
      <w:outlineLvl w:val="0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DB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24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773E0F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773E0F"/>
    <w:rPr>
      <w:rFonts w:ascii="Lucida Grande" w:hAnsi="Lucida Grande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366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66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4DB6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366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DB6"/>
    <w:rPr>
      <w:rFonts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4678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4DB6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D4DB6"/>
    <w:rPr>
      <w:rFonts w:cs="Times New Roman"/>
      <w:sz w:val="2"/>
      <w:lang w:val="en-US" w:eastAsia="en-US"/>
    </w:rPr>
  </w:style>
  <w:style w:type="character" w:customStyle="1" w:styleId="normalchar1">
    <w:name w:val="normal__char1"/>
    <w:uiPriority w:val="99"/>
    <w:rsid w:val="00F0214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57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76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76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7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76F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95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hul.ac.uk/mllc/informationforcurrentstudent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RHUL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French Dept</dc:creator>
  <cp:lastModifiedBy>Thompson, Hannah</cp:lastModifiedBy>
  <cp:revision>9</cp:revision>
  <cp:lastPrinted>2016-02-09T15:49:00Z</cp:lastPrinted>
  <dcterms:created xsi:type="dcterms:W3CDTF">2017-02-13T09:02:00Z</dcterms:created>
  <dcterms:modified xsi:type="dcterms:W3CDTF">2017-02-20T14:01:00Z</dcterms:modified>
</cp:coreProperties>
</file>