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44"/>
      </w:tblGrid>
      <w:tr w:rsidR="00753FC4" w14:paraId="185BC6BF" w14:textId="77777777" w:rsidTr="79B479A2">
        <w:tc>
          <w:tcPr>
            <w:tcW w:w="7650" w:type="dxa"/>
            <w:shd w:val="clear" w:color="auto" w:fill="A8D08D" w:themeFill="accent6" w:themeFillTint="99"/>
            <w:vAlign w:val="center"/>
          </w:tcPr>
          <w:p w14:paraId="71EBA260" w14:textId="77777777" w:rsidR="00753FC4" w:rsidRPr="00CE2481" w:rsidRDefault="00D16FA3" w:rsidP="00707122">
            <w:pPr>
              <w:rPr>
                <w:color w:val="C9C9C9" w:themeColor="accent3" w:themeTint="99"/>
                <w:sz w:val="16"/>
              </w:rPr>
            </w:pPr>
            <w:r>
              <w:rPr>
                <w:noProof/>
              </w:rPr>
              <w:t>Committee Terms of Reference</w:t>
            </w:r>
          </w:p>
          <w:p w14:paraId="77C12A91" w14:textId="0664426F" w:rsidR="00753FC4" w:rsidRPr="004F0949" w:rsidRDefault="00A24D77" w:rsidP="79B479A2">
            <w:pPr>
              <w:rPr>
                <w:b/>
                <w:bCs/>
              </w:rPr>
            </w:pPr>
            <w:r w:rsidRPr="79B479A2">
              <w:rPr>
                <w:b/>
                <w:bCs/>
                <w:sz w:val="32"/>
                <w:szCs w:val="32"/>
              </w:rPr>
              <w:t>University Education</w:t>
            </w:r>
            <w:r w:rsidR="00140B5E" w:rsidRPr="79B479A2">
              <w:rPr>
                <w:b/>
                <w:bCs/>
                <w:sz w:val="32"/>
                <w:szCs w:val="32"/>
              </w:rPr>
              <w:t xml:space="preserve"> C</w:t>
            </w:r>
            <w:r w:rsidR="008707E9" w:rsidRPr="79B479A2">
              <w:rPr>
                <w:b/>
                <w:bCs/>
                <w:sz w:val="32"/>
                <w:szCs w:val="32"/>
              </w:rPr>
              <w:t>ommittee</w:t>
            </w:r>
          </w:p>
        </w:tc>
        <w:tc>
          <w:tcPr>
            <w:tcW w:w="1944" w:type="dxa"/>
            <w:tcMar>
              <w:left w:w="0" w:type="dxa"/>
              <w:right w:w="0" w:type="dxa"/>
            </w:tcMar>
          </w:tcPr>
          <w:p w14:paraId="488B056B" w14:textId="77777777" w:rsidR="00753FC4" w:rsidRDefault="00753FC4" w:rsidP="00707122">
            <w:pPr>
              <w:jc w:val="right"/>
            </w:pPr>
            <w:r w:rsidRPr="00997900">
              <w:rPr>
                <w:noProof/>
                <w:lang w:eastAsia="en-GB"/>
              </w:rPr>
              <w:drawing>
                <wp:inline distT="0" distB="0" distL="0" distR="0" wp14:anchorId="48D53809" wp14:editId="36D38903">
                  <wp:extent cx="1175657" cy="587829"/>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657" cy="587829"/>
                          </a:xfrm>
                          <a:prstGeom prst="rect">
                            <a:avLst/>
                          </a:prstGeom>
                          <a:noFill/>
                          <a:ln>
                            <a:noFill/>
                          </a:ln>
                        </pic:spPr>
                      </pic:pic>
                    </a:graphicData>
                  </a:graphic>
                </wp:inline>
              </w:drawing>
            </w:r>
          </w:p>
        </w:tc>
      </w:tr>
    </w:tbl>
    <w:p w14:paraId="13E43DF1" w14:textId="77777777" w:rsidR="00753FC4" w:rsidRDefault="00753FC4" w:rsidP="00753FC4"/>
    <w:tbl>
      <w:tblPr>
        <w:tblStyle w:val="TableGrid"/>
        <w:tblW w:w="9625" w:type="dxa"/>
        <w:tblCellMar>
          <w:top w:w="58" w:type="dxa"/>
          <w:left w:w="58" w:type="dxa"/>
          <w:bottom w:w="58" w:type="dxa"/>
          <w:right w:w="58" w:type="dxa"/>
        </w:tblCellMar>
        <w:tblLook w:val="04A0" w:firstRow="1" w:lastRow="0" w:firstColumn="1" w:lastColumn="0" w:noHBand="0" w:noVBand="1"/>
      </w:tblPr>
      <w:tblGrid>
        <w:gridCol w:w="2605"/>
        <w:gridCol w:w="7020"/>
      </w:tblGrid>
      <w:tr w:rsidR="00D16FA3" w14:paraId="5DD5F002" w14:textId="77777777" w:rsidTr="0DD62DEF">
        <w:tc>
          <w:tcPr>
            <w:tcW w:w="2605" w:type="dxa"/>
          </w:tcPr>
          <w:p w14:paraId="36291500" w14:textId="77777777" w:rsidR="00D16FA3" w:rsidRDefault="00D16FA3" w:rsidP="00753FC4">
            <w:r>
              <w:t>Purpose</w:t>
            </w:r>
          </w:p>
        </w:tc>
        <w:tc>
          <w:tcPr>
            <w:tcW w:w="7020" w:type="dxa"/>
          </w:tcPr>
          <w:p w14:paraId="075A77E5" w14:textId="2389577A" w:rsidR="00A24D77" w:rsidRPr="00A24D77" w:rsidRDefault="00A24D77" w:rsidP="00A24D77">
            <w:pPr>
              <w:pStyle w:val="ListParagraph"/>
              <w:numPr>
                <w:ilvl w:val="0"/>
                <w:numId w:val="20"/>
              </w:numPr>
              <w:ind w:left="450"/>
            </w:pPr>
            <w:r w:rsidRPr="00A24D77">
              <w:t>To be responsible for the strategic oversight</w:t>
            </w:r>
            <w:r w:rsidR="00373C7A">
              <w:t xml:space="preserve">, </w:t>
            </w:r>
            <w:r w:rsidRPr="00A24D77">
              <w:t xml:space="preserve">management </w:t>
            </w:r>
            <w:r w:rsidR="00373C7A">
              <w:t xml:space="preserve">and quality </w:t>
            </w:r>
            <w:r w:rsidRPr="00A24D77">
              <w:t>of the University’s portfolio of taught academic provision</w:t>
            </w:r>
          </w:p>
          <w:p w14:paraId="34B653C0" w14:textId="3C9245EA" w:rsidR="00A24D77" w:rsidRPr="00A24D77" w:rsidRDefault="00A24D77" w:rsidP="79B479A2">
            <w:pPr>
              <w:pStyle w:val="ListParagraph"/>
              <w:numPr>
                <w:ilvl w:val="0"/>
                <w:numId w:val="20"/>
              </w:numPr>
              <w:ind w:left="450"/>
            </w:pPr>
            <w:r>
              <w:t xml:space="preserve">Develop and maintain an overall academic plan for </w:t>
            </w:r>
            <w:r w:rsidR="0E2ACA69">
              <w:t>Educational Partnerships</w:t>
            </w:r>
            <w:r>
              <w:t xml:space="preserve"> for the University</w:t>
            </w:r>
          </w:p>
          <w:p w14:paraId="611781A8" w14:textId="51B7B222" w:rsidR="009415BB" w:rsidRPr="00A24D77" w:rsidRDefault="00A24D77" w:rsidP="00A24D77">
            <w:pPr>
              <w:pStyle w:val="ListParagraph"/>
              <w:numPr>
                <w:ilvl w:val="0"/>
                <w:numId w:val="20"/>
              </w:numPr>
              <w:ind w:left="450"/>
            </w:pPr>
            <w:r w:rsidRPr="00A24D77">
              <w:rPr>
                <w:rFonts w:cs="Arial"/>
              </w:rPr>
              <w:t>Promote innovation to enhance learning, teaching </w:t>
            </w:r>
          </w:p>
        </w:tc>
      </w:tr>
      <w:tr w:rsidR="00D16FA3" w14:paraId="2078A7E2" w14:textId="77777777" w:rsidTr="0DD62DEF">
        <w:tc>
          <w:tcPr>
            <w:tcW w:w="2605" w:type="dxa"/>
          </w:tcPr>
          <w:p w14:paraId="73655EBB" w14:textId="77777777" w:rsidR="00D16FA3" w:rsidRDefault="00D16FA3" w:rsidP="00753FC4">
            <w:r>
              <w:t>Reports to</w:t>
            </w:r>
          </w:p>
        </w:tc>
        <w:tc>
          <w:tcPr>
            <w:tcW w:w="7020" w:type="dxa"/>
          </w:tcPr>
          <w:p w14:paraId="12F01C41" w14:textId="77777777" w:rsidR="00D16FA3" w:rsidRDefault="00140B5E" w:rsidP="00A24D77">
            <w:pPr>
              <w:ind w:left="450"/>
            </w:pPr>
            <w:r>
              <w:t>Academic Board</w:t>
            </w:r>
          </w:p>
        </w:tc>
      </w:tr>
      <w:tr w:rsidR="00AE2657" w14:paraId="1C246240" w14:textId="77777777" w:rsidTr="0DD62DEF">
        <w:tc>
          <w:tcPr>
            <w:tcW w:w="2605" w:type="dxa"/>
          </w:tcPr>
          <w:p w14:paraId="4FCD3A67" w14:textId="77777777" w:rsidR="00AE2657" w:rsidRDefault="00AE2657" w:rsidP="00753FC4">
            <w:r>
              <w:t>Sub-committees</w:t>
            </w:r>
          </w:p>
        </w:tc>
        <w:tc>
          <w:tcPr>
            <w:tcW w:w="7020" w:type="dxa"/>
          </w:tcPr>
          <w:p w14:paraId="583AB03C" w14:textId="25529BE3" w:rsidR="00A24D77" w:rsidRDefault="00A24D77" w:rsidP="00A24D77">
            <w:pPr>
              <w:pStyle w:val="ListParagraph"/>
              <w:numPr>
                <w:ilvl w:val="0"/>
                <w:numId w:val="21"/>
              </w:numPr>
              <w:ind w:left="450"/>
            </w:pPr>
            <w:r>
              <w:t>Curriculum Development Committee</w:t>
            </w:r>
          </w:p>
          <w:p w14:paraId="5E87E010" w14:textId="76958C2D" w:rsidR="00A24D77" w:rsidDel="003C4C70" w:rsidRDefault="00DA6CA7" w:rsidP="002D250A">
            <w:pPr>
              <w:pStyle w:val="ListParagraph"/>
              <w:numPr>
                <w:ilvl w:val="0"/>
                <w:numId w:val="21"/>
              </w:numPr>
              <w:ind w:left="450"/>
            </w:pPr>
            <w:r>
              <w:t>Assessment and Academic Regulations Sub Committee</w:t>
            </w:r>
          </w:p>
          <w:p w14:paraId="2D334148" w14:textId="410A3D34" w:rsidR="7EB52B9E" w:rsidRDefault="7EB52B9E" w:rsidP="57492937">
            <w:pPr>
              <w:pStyle w:val="ListParagraph"/>
              <w:numPr>
                <w:ilvl w:val="0"/>
                <w:numId w:val="21"/>
              </w:numPr>
              <w:ind w:left="450"/>
            </w:pPr>
            <w:r>
              <w:t>National Student Survey Working Group</w:t>
            </w:r>
          </w:p>
          <w:p w14:paraId="5462881E" w14:textId="404D2C1B" w:rsidR="7EB52B9E" w:rsidRDefault="7EB52B9E" w:rsidP="57492937">
            <w:pPr>
              <w:pStyle w:val="ListParagraph"/>
              <w:numPr>
                <w:ilvl w:val="0"/>
                <w:numId w:val="21"/>
              </w:numPr>
              <w:ind w:left="450"/>
            </w:pPr>
            <w:r>
              <w:t>Surveys Insight Group</w:t>
            </w:r>
          </w:p>
          <w:p w14:paraId="5374B125" w14:textId="77777777" w:rsidR="002D250A" w:rsidRDefault="7EB52B9E" w:rsidP="00A24D77">
            <w:pPr>
              <w:pStyle w:val="ListParagraph"/>
              <w:numPr>
                <w:ilvl w:val="0"/>
                <w:numId w:val="21"/>
              </w:numPr>
              <w:ind w:left="450"/>
            </w:pPr>
            <w:r>
              <w:t>Teaching and Learning Awards Group</w:t>
            </w:r>
          </w:p>
          <w:p w14:paraId="4FA9A564" w14:textId="622F80FF" w:rsidR="003C4C70" w:rsidRDefault="003C4C70" w:rsidP="00A24D77">
            <w:pPr>
              <w:pStyle w:val="ListParagraph"/>
              <w:numPr>
                <w:ilvl w:val="0"/>
                <w:numId w:val="21"/>
              </w:numPr>
              <w:ind w:left="450"/>
            </w:pPr>
            <w:r>
              <w:t>Access and Participation Operations Group (APOG)</w:t>
            </w:r>
          </w:p>
          <w:p w14:paraId="00961226" w14:textId="77777777" w:rsidR="00AD6693" w:rsidRDefault="00A24D77" w:rsidP="00A24D77">
            <w:pPr>
              <w:pStyle w:val="ListParagraph"/>
              <w:numPr>
                <w:ilvl w:val="0"/>
                <w:numId w:val="21"/>
              </w:numPr>
              <w:ind w:left="450"/>
            </w:pPr>
            <w:r>
              <w:t>School Education Committees</w:t>
            </w:r>
          </w:p>
          <w:p w14:paraId="0F466F31" w14:textId="4F973E2F" w:rsidR="0084770E" w:rsidRDefault="00B077E6" w:rsidP="00A24D77">
            <w:pPr>
              <w:pStyle w:val="ListParagraph"/>
              <w:numPr>
                <w:ilvl w:val="0"/>
                <w:numId w:val="21"/>
              </w:numPr>
              <w:ind w:left="450"/>
            </w:pPr>
            <w:r>
              <w:t xml:space="preserve">Education </w:t>
            </w:r>
            <w:r w:rsidR="0084770E">
              <w:t>Partnerships Committee</w:t>
            </w:r>
          </w:p>
        </w:tc>
      </w:tr>
      <w:tr w:rsidR="00D16FA3" w14:paraId="03DC25BD" w14:textId="77777777" w:rsidTr="0DD62DEF">
        <w:tc>
          <w:tcPr>
            <w:tcW w:w="2605" w:type="dxa"/>
          </w:tcPr>
          <w:p w14:paraId="3AD9F49C" w14:textId="77777777" w:rsidR="00D16FA3" w:rsidRDefault="00D16FA3" w:rsidP="00753FC4">
            <w:r>
              <w:t>Regular meetings per year</w:t>
            </w:r>
          </w:p>
        </w:tc>
        <w:tc>
          <w:tcPr>
            <w:tcW w:w="7020" w:type="dxa"/>
          </w:tcPr>
          <w:p w14:paraId="1269C471" w14:textId="77777777" w:rsidR="00A24D77" w:rsidRPr="00A24D77" w:rsidRDefault="00A24D77" w:rsidP="00A24D77">
            <w:pPr>
              <w:pStyle w:val="ListParagraph"/>
              <w:numPr>
                <w:ilvl w:val="0"/>
                <w:numId w:val="22"/>
              </w:numPr>
              <w:ind w:left="450"/>
            </w:pPr>
            <w:r w:rsidRPr="00A24D77">
              <w:t xml:space="preserve">Autumn term x 2 </w:t>
            </w:r>
          </w:p>
          <w:p w14:paraId="7EA1E91B" w14:textId="77777777" w:rsidR="00A24D77" w:rsidRPr="00A24D77" w:rsidRDefault="00A24D77" w:rsidP="00A24D77">
            <w:pPr>
              <w:pStyle w:val="ListParagraph"/>
              <w:numPr>
                <w:ilvl w:val="0"/>
                <w:numId w:val="22"/>
              </w:numPr>
              <w:ind w:left="450"/>
            </w:pPr>
            <w:r w:rsidRPr="00A24D77">
              <w:t>Spring term x 1</w:t>
            </w:r>
          </w:p>
          <w:p w14:paraId="5689E9D3" w14:textId="2478AAA5" w:rsidR="00D16FA3" w:rsidRDefault="00A24D77" w:rsidP="00A24D77">
            <w:pPr>
              <w:pStyle w:val="ListParagraph"/>
              <w:numPr>
                <w:ilvl w:val="0"/>
                <w:numId w:val="22"/>
              </w:numPr>
              <w:ind w:left="450"/>
            </w:pPr>
            <w:r w:rsidRPr="00A24D77">
              <w:t>Summer term x 1</w:t>
            </w:r>
          </w:p>
        </w:tc>
      </w:tr>
      <w:tr w:rsidR="00D16FA3" w14:paraId="0228B55F" w14:textId="77777777" w:rsidTr="0DD62DEF">
        <w:tc>
          <w:tcPr>
            <w:tcW w:w="2605" w:type="dxa"/>
          </w:tcPr>
          <w:p w14:paraId="2FA06E39" w14:textId="77777777" w:rsidR="00D16FA3" w:rsidRDefault="00D16FA3" w:rsidP="00753FC4">
            <w:r>
              <w:t>Quorum</w:t>
            </w:r>
          </w:p>
        </w:tc>
        <w:tc>
          <w:tcPr>
            <w:tcW w:w="7020" w:type="dxa"/>
          </w:tcPr>
          <w:p w14:paraId="38B13AC7" w14:textId="52910656" w:rsidR="00D16FA3" w:rsidRDefault="0037329B" w:rsidP="00753FC4">
            <w:r>
              <w:t>6</w:t>
            </w:r>
          </w:p>
        </w:tc>
      </w:tr>
      <w:tr w:rsidR="00A6049D" w14:paraId="01A8F19F" w14:textId="77777777" w:rsidTr="0DD62DEF">
        <w:tc>
          <w:tcPr>
            <w:tcW w:w="2605" w:type="dxa"/>
          </w:tcPr>
          <w:p w14:paraId="6EC29F27" w14:textId="77777777" w:rsidR="00A6049D" w:rsidRDefault="00A6049D" w:rsidP="00753FC4">
            <w:r>
              <w:t>Route for submission of business</w:t>
            </w:r>
          </w:p>
        </w:tc>
        <w:tc>
          <w:tcPr>
            <w:tcW w:w="7020" w:type="dxa"/>
          </w:tcPr>
          <w:p w14:paraId="33D9B752" w14:textId="7A80CE08" w:rsidR="00FC173B" w:rsidRDefault="00B077E6" w:rsidP="00753FC4">
            <w:hyperlink r:id="rId9" w:history="1">
              <w:r w:rsidR="00A24D77" w:rsidRPr="009B0241">
                <w:rPr>
                  <w:rStyle w:val="Hyperlink"/>
                </w:rPr>
                <w:t>Academic-quality-and-policy@rhul.ac.uk</w:t>
              </w:r>
            </w:hyperlink>
          </w:p>
          <w:p w14:paraId="3B608A5D" w14:textId="3D4C515A" w:rsidR="00A24D77" w:rsidRDefault="00A24D77" w:rsidP="00753FC4"/>
        </w:tc>
      </w:tr>
      <w:tr w:rsidR="00870DAA" w14:paraId="1347F16A" w14:textId="77777777" w:rsidTr="0DD62DEF">
        <w:tc>
          <w:tcPr>
            <w:tcW w:w="2605" w:type="dxa"/>
          </w:tcPr>
          <w:p w14:paraId="494A2073" w14:textId="77777777" w:rsidR="00870DAA" w:rsidRDefault="00870DAA" w:rsidP="00753FC4">
            <w:r>
              <w:t>Agenda and papers</w:t>
            </w:r>
          </w:p>
        </w:tc>
        <w:tc>
          <w:tcPr>
            <w:tcW w:w="7020" w:type="dxa"/>
          </w:tcPr>
          <w:p w14:paraId="3BCBC4C1" w14:textId="70657452" w:rsidR="00870DAA" w:rsidRDefault="00A24D77" w:rsidP="00753FC4">
            <w:r>
              <w:t>Circulated one week in advance of the meeting</w:t>
            </w:r>
          </w:p>
        </w:tc>
      </w:tr>
      <w:tr w:rsidR="00151CCC" w14:paraId="6DFC063F" w14:textId="77777777" w:rsidTr="0DD62DEF">
        <w:tc>
          <w:tcPr>
            <w:tcW w:w="2605" w:type="dxa"/>
          </w:tcPr>
          <w:p w14:paraId="4A05260E" w14:textId="77777777" w:rsidR="00151CCC" w:rsidRDefault="00151CCC" w:rsidP="00753FC4">
            <w:r>
              <w:t>Approved by/on</w:t>
            </w:r>
          </w:p>
        </w:tc>
        <w:tc>
          <w:tcPr>
            <w:tcW w:w="7020" w:type="dxa"/>
          </w:tcPr>
          <w:p w14:paraId="4291C9EB" w14:textId="77777777" w:rsidR="00151CCC" w:rsidRDefault="00151CCC" w:rsidP="00753FC4"/>
        </w:tc>
      </w:tr>
    </w:tbl>
    <w:p w14:paraId="7888A2D5" w14:textId="77777777" w:rsidR="00D16FA3" w:rsidRDefault="00D16FA3" w:rsidP="00753FC4"/>
    <w:p w14:paraId="2CDBC0A3" w14:textId="77777777" w:rsidR="00D16FA3" w:rsidRPr="00E5001C" w:rsidRDefault="00D16FA3" w:rsidP="00753FC4">
      <w:r w:rsidRPr="00E5001C">
        <w:rPr>
          <w:b/>
        </w:rPr>
        <w:t>Terms of Reference</w:t>
      </w:r>
    </w:p>
    <w:p w14:paraId="0579FF6A" w14:textId="77777777" w:rsidR="00D16FA3" w:rsidRPr="00E5001C" w:rsidRDefault="00D16FA3" w:rsidP="00753FC4"/>
    <w:p w14:paraId="344842F3" w14:textId="4F7BAA3A" w:rsidR="00D16FA3" w:rsidRDefault="005958F0" w:rsidP="00753FC4">
      <w:r w:rsidRPr="00E5001C">
        <w:t>The primary duties of the committee are as follows</w:t>
      </w:r>
      <w:r w:rsidR="000613A9">
        <w:t>:</w:t>
      </w:r>
    </w:p>
    <w:p w14:paraId="563E4770" w14:textId="77777777" w:rsidR="000613A9" w:rsidRPr="00E5001C" w:rsidRDefault="000613A9" w:rsidP="00753FC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8574"/>
      </w:tblGrid>
      <w:tr w:rsidR="00A24D77" w:rsidRPr="00FA3E08" w14:paraId="5F08390D" w14:textId="77777777" w:rsidTr="0086708E">
        <w:tc>
          <w:tcPr>
            <w:tcW w:w="9639" w:type="dxa"/>
            <w:gridSpan w:val="2"/>
            <w:shd w:val="clear" w:color="auto" w:fill="auto"/>
          </w:tcPr>
          <w:p w14:paraId="16A5505A" w14:textId="0B068392" w:rsidR="00A24D77" w:rsidRPr="00A24D77" w:rsidRDefault="00A24D77" w:rsidP="00A24D77">
            <w:pPr>
              <w:spacing w:after="240"/>
              <w:rPr>
                <w:b/>
                <w:bCs/>
              </w:rPr>
            </w:pPr>
            <w:r>
              <w:rPr>
                <w:b/>
                <w:bCs/>
              </w:rPr>
              <w:t>Strategy</w:t>
            </w:r>
          </w:p>
        </w:tc>
      </w:tr>
      <w:tr w:rsidR="00140B5E" w:rsidRPr="00FA3E08" w14:paraId="4674E37D" w14:textId="77777777" w:rsidTr="0086708E">
        <w:tc>
          <w:tcPr>
            <w:tcW w:w="1065" w:type="dxa"/>
            <w:shd w:val="clear" w:color="auto" w:fill="auto"/>
          </w:tcPr>
          <w:p w14:paraId="533D3C04" w14:textId="77777777" w:rsidR="00140B5E" w:rsidRPr="00FA3E08" w:rsidRDefault="00140B5E" w:rsidP="00A24D77">
            <w:pPr>
              <w:pStyle w:val="ListParagraph"/>
              <w:numPr>
                <w:ilvl w:val="0"/>
                <w:numId w:val="15"/>
              </w:numPr>
              <w:spacing w:after="240" w:line="276" w:lineRule="auto"/>
              <w:ind w:left="357" w:hanging="357"/>
              <w:jc w:val="center"/>
            </w:pPr>
          </w:p>
        </w:tc>
        <w:tc>
          <w:tcPr>
            <w:tcW w:w="8574" w:type="dxa"/>
            <w:shd w:val="clear" w:color="auto" w:fill="auto"/>
          </w:tcPr>
          <w:p w14:paraId="6F345A30" w14:textId="1A8BEEE7" w:rsidR="00A24D77" w:rsidRPr="00FA3E08" w:rsidRDefault="00A24D77" w:rsidP="00A24D77">
            <w:pPr>
              <w:spacing w:after="240"/>
            </w:pPr>
            <w:r>
              <w:t>To approve and monitor the Education</w:t>
            </w:r>
            <w:r w:rsidR="0F779F32">
              <w:t xml:space="preserve"> and Student Experience</w:t>
            </w:r>
            <w:r>
              <w:t xml:space="preserve"> </w:t>
            </w:r>
            <w:r w:rsidR="00B829CE">
              <w:t>Action Plan</w:t>
            </w:r>
            <w:r>
              <w:t xml:space="preserve"> and to monitor </w:t>
            </w:r>
            <w:r w:rsidR="002D250A">
              <w:t>its</w:t>
            </w:r>
            <w:r>
              <w:t xml:space="preserve"> delivery through setting annual goals and prioritising initiatives which enhance the student experience as it relates to teaching, learning and assessment, and which contributes to, and supports attainment of Royal Holloway’s</w:t>
            </w:r>
            <w:r w:rsidR="002D250A">
              <w:t xml:space="preserve"> RH2030s </w:t>
            </w:r>
            <w:r>
              <w:t>objectives</w:t>
            </w:r>
            <w:r w:rsidR="00B829CE">
              <w:t>.</w:t>
            </w:r>
          </w:p>
        </w:tc>
      </w:tr>
      <w:tr w:rsidR="00140B5E" w:rsidRPr="00FA3E08" w14:paraId="4CA345DC" w14:textId="77777777" w:rsidTr="0086708E">
        <w:tc>
          <w:tcPr>
            <w:tcW w:w="1065" w:type="dxa"/>
            <w:shd w:val="clear" w:color="auto" w:fill="auto"/>
          </w:tcPr>
          <w:p w14:paraId="49E3C50E" w14:textId="77777777" w:rsidR="00140B5E" w:rsidRPr="00FA3E08" w:rsidRDefault="00140B5E" w:rsidP="00A24D77">
            <w:pPr>
              <w:pStyle w:val="ListParagraph"/>
              <w:numPr>
                <w:ilvl w:val="0"/>
                <w:numId w:val="15"/>
              </w:numPr>
              <w:spacing w:after="240" w:line="276" w:lineRule="auto"/>
              <w:ind w:left="357" w:hanging="357"/>
              <w:jc w:val="center"/>
            </w:pPr>
          </w:p>
        </w:tc>
        <w:tc>
          <w:tcPr>
            <w:tcW w:w="8574" w:type="dxa"/>
            <w:shd w:val="clear" w:color="auto" w:fill="auto"/>
          </w:tcPr>
          <w:p w14:paraId="420B7564" w14:textId="445F63FE" w:rsidR="00A24D77" w:rsidRPr="00FA3E08" w:rsidRDefault="00A24D77" w:rsidP="00A24D77">
            <w:pPr>
              <w:spacing w:after="240"/>
              <w:rPr>
                <w:rFonts w:cs="Arial"/>
              </w:rPr>
            </w:pPr>
            <w:r w:rsidRPr="00A24D77">
              <w:rPr>
                <w:rFonts w:cs="Arial"/>
              </w:rPr>
              <w:t>To engage in horizon scanning to anticipate and prepare for new opportunities and likely future developments in learning and teaching or specific curriculum areas, and to receive reports from School UG and PGT Education Committees</w:t>
            </w:r>
            <w:r w:rsidR="00B829CE">
              <w:rPr>
                <w:rFonts w:cs="Arial"/>
              </w:rPr>
              <w:t>.</w:t>
            </w:r>
          </w:p>
        </w:tc>
      </w:tr>
      <w:tr w:rsidR="00140B5E" w:rsidRPr="00FA3E08" w14:paraId="540C289A" w14:textId="77777777" w:rsidTr="0086708E">
        <w:tc>
          <w:tcPr>
            <w:tcW w:w="1065" w:type="dxa"/>
            <w:shd w:val="clear" w:color="auto" w:fill="auto"/>
          </w:tcPr>
          <w:p w14:paraId="2EBBDC2B" w14:textId="77777777" w:rsidR="00140B5E" w:rsidRPr="00FA3E08" w:rsidRDefault="00140B5E" w:rsidP="00A24D77">
            <w:pPr>
              <w:pStyle w:val="ListParagraph"/>
              <w:numPr>
                <w:ilvl w:val="0"/>
                <w:numId w:val="15"/>
              </w:numPr>
              <w:spacing w:after="240" w:line="276" w:lineRule="auto"/>
              <w:ind w:left="357" w:hanging="357"/>
              <w:jc w:val="center"/>
            </w:pPr>
          </w:p>
        </w:tc>
        <w:tc>
          <w:tcPr>
            <w:tcW w:w="8574" w:type="dxa"/>
            <w:shd w:val="clear" w:color="auto" w:fill="auto"/>
          </w:tcPr>
          <w:p w14:paraId="77FA2FE4" w14:textId="3DA133B8" w:rsidR="00A24D77" w:rsidRPr="00FA3E08" w:rsidRDefault="00A24D77" w:rsidP="00A24D77">
            <w:pPr>
              <w:spacing w:after="240"/>
              <w:rPr>
                <w:rFonts w:cs="Arial"/>
              </w:rPr>
            </w:pPr>
            <w:r w:rsidRPr="00A24D77">
              <w:rPr>
                <w:rFonts w:cs="Arial"/>
              </w:rPr>
              <w:t xml:space="preserve">To consider and recommend to Academic Board </w:t>
            </w:r>
            <w:r w:rsidR="00C21FE5">
              <w:rPr>
                <w:rFonts w:cs="Arial"/>
              </w:rPr>
              <w:t xml:space="preserve">the </w:t>
            </w:r>
            <w:r w:rsidRPr="00A24D77">
              <w:rPr>
                <w:rFonts w:cs="Arial"/>
              </w:rPr>
              <w:t>approval of education related policies</w:t>
            </w:r>
          </w:p>
        </w:tc>
      </w:tr>
      <w:tr w:rsidR="00140B5E" w:rsidRPr="00FA3E08" w14:paraId="4A7D81A8" w14:textId="77777777" w:rsidTr="0086708E">
        <w:tc>
          <w:tcPr>
            <w:tcW w:w="1065" w:type="dxa"/>
            <w:shd w:val="clear" w:color="auto" w:fill="auto"/>
          </w:tcPr>
          <w:p w14:paraId="717E6FA3" w14:textId="77777777" w:rsidR="00140B5E" w:rsidRPr="00FA3E08" w:rsidRDefault="00140B5E" w:rsidP="00A24D77">
            <w:pPr>
              <w:pStyle w:val="ListParagraph"/>
              <w:numPr>
                <w:ilvl w:val="0"/>
                <w:numId w:val="15"/>
              </w:numPr>
              <w:spacing w:after="240" w:line="276" w:lineRule="auto"/>
              <w:ind w:left="357" w:hanging="357"/>
              <w:jc w:val="center"/>
            </w:pPr>
          </w:p>
        </w:tc>
        <w:tc>
          <w:tcPr>
            <w:tcW w:w="8574" w:type="dxa"/>
            <w:shd w:val="clear" w:color="auto" w:fill="auto"/>
          </w:tcPr>
          <w:p w14:paraId="1A8DBC4C" w14:textId="5F54F361" w:rsidR="00140B5E" w:rsidRPr="00FA3E08" w:rsidRDefault="00A24D77" w:rsidP="00A24D77">
            <w:pPr>
              <w:spacing w:after="240"/>
              <w:rPr>
                <w:rFonts w:cs="Arial"/>
              </w:rPr>
            </w:pPr>
            <w:r w:rsidRPr="57492937">
              <w:rPr>
                <w:rFonts w:cs="Arial"/>
              </w:rPr>
              <w:t xml:space="preserve"> </w:t>
            </w:r>
            <w:r w:rsidR="40E5302B" w:rsidRPr="57492937">
              <w:rPr>
                <w:rFonts w:cs="Arial"/>
              </w:rPr>
              <w:t>Monitor applications to</w:t>
            </w:r>
            <w:r w:rsidRPr="57492937">
              <w:rPr>
                <w:rFonts w:cs="Arial"/>
              </w:rPr>
              <w:t xml:space="preserve"> </w:t>
            </w:r>
            <w:r w:rsidR="1680EB5E" w:rsidRPr="57492937">
              <w:rPr>
                <w:rFonts w:cs="Arial"/>
              </w:rPr>
              <w:t xml:space="preserve">and award of </w:t>
            </w:r>
            <w:proofErr w:type="spellStart"/>
            <w:r w:rsidR="1680EB5E" w:rsidRPr="57492937">
              <w:rPr>
                <w:rFonts w:cs="Arial"/>
              </w:rPr>
              <w:t>AdvanceHE</w:t>
            </w:r>
            <w:proofErr w:type="spellEnd"/>
            <w:r w:rsidR="1680EB5E" w:rsidRPr="57492937">
              <w:rPr>
                <w:rFonts w:cs="Arial"/>
              </w:rPr>
              <w:t xml:space="preserve"> Fellowships</w:t>
            </w:r>
            <w:r w:rsidR="00B829CE">
              <w:rPr>
                <w:rFonts w:cs="Arial"/>
              </w:rPr>
              <w:t>.</w:t>
            </w:r>
          </w:p>
        </w:tc>
      </w:tr>
    </w:tbl>
    <w:p w14:paraId="37679DE7" w14:textId="77777777" w:rsidR="00B829CE" w:rsidRDefault="00B829CE"/>
    <w:p w14:paraId="270DDE67" w14:textId="4D0D082B" w:rsidR="00B829CE" w:rsidRPr="005C5D68" w:rsidRDefault="005C5D68">
      <w:pPr>
        <w:rPr>
          <w:b/>
          <w:bCs/>
        </w:rPr>
      </w:pPr>
      <w:r w:rsidRPr="005C5D68">
        <w:rPr>
          <w:b/>
          <w:bCs/>
        </w:rPr>
        <w:t>Quality Assurance and Standards</w:t>
      </w:r>
    </w:p>
    <w:p w14:paraId="54E32BA9" w14:textId="77777777" w:rsidR="005C5D68" w:rsidRDefault="005C5D68"/>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8574"/>
      </w:tblGrid>
      <w:tr w:rsidR="00B829CE" w:rsidRPr="00FA3E08" w14:paraId="3E8530E6" w14:textId="77777777" w:rsidTr="0086708E">
        <w:tc>
          <w:tcPr>
            <w:tcW w:w="1065" w:type="dxa"/>
            <w:shd w:val="clear" w:color="auto" w:fill="auto"/>
          </w:tcPr>
          <w:p w14:paraId="6E23AA7A"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69500964" w14:textId="1D89A3D8" w:rsidR="00B829CE" w:rsidRPr="57492937" w:rsidRDefault="00B829CE" w:rsidP="00B829CE">
            <w:pPr>
              <w:spacing w:after="160" w:line="259" w:lineRule="auto"/>
              <w:rPr>
                <w:rFonts w:cs="Arial"/>
              </w:rPr>
            </w:pPr>
            <w:r w:rsidRPr="00B829CE">
              <w:rPr>
                <w:rFonts w:eastAsia="Corbel" w:cs="Corbel"/>
                <w:color w:val="000000" w:themeColor="text1"/>
                <w:sz w:val="22"/>
                <w:szCs w:val="22"/>
              </w:rPr>
              <w:t>To oversee the delivery of the University’s Quality Assurance Framework</w:t>
            </w:r>
          </w:p>
        </w:tc>
      </w:tr>
      <w:tr w:rsidR="00B829CE" w:rsidRPr="00FA3E08" w14:paraId="2ED02733" w14:textId="77777777" w:rsidTr="0086708E">
        <w:tc>
          <w:tcPr>
            <w:tcW w:w="1065" w:type="dxa"/>
            <w:shd w:val="clear" w:color="auto" w:fill="auto"/>
          </w:tcPr>
          <w:p w14:paraId="0002B49F"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02D7E09A" w14:textId="427107A9" w:rsidR="00B829CE" w:rsidRPr="57492937" w:rsidRDefault="00B829CE" w:rsidP="00B829CE">
            <w:pPr>
              <w:spacing w:after="160" w:line="259" w:lineRule="auto"/>
              <w:rPr>
                <w:rFonts w:cs="Arial"/>
              </w:rPr>
            </w:pPr>
            <w:r w:rsidRPr="00B829CE">
              <w:rPr>
                <w:rFonts w:eastAsia="Corbel" w:cs="Corbel"/>
                <w:color w:val="000000" w:themeColor="text1"/>
                <w:sz w:val="22"/>
                <w:szCs w:val="22"/>
              </w:rPr>
              <w:t>To oversee strategic enhancement relating to the Quality Assurance Framework</w:t>
            </w:r>
            <w:r>
              <w:rPr>
                <w:rFonts w:eastAsia="Corbel" w:cs="Corbel"/>
                <w:color w:val="000000" w:themeColor="text1"/>
                <w:sz w:val="22"/>
                <w:szCs w:val="22"/>
              </w:rPr>
              <w:t>.</w:t>
            </w:r>
          </w:p>
        </w:tc>
      </w:tr>
      <w:tr w:rsidR="00B829CE" w:rsidRPr="00FA3E08" w14:paraId="200BDBD7" w14:textId="77777777" w:rsidTr="0086708E">
        <w:tc>
          <w:tcPr>
            <w:tcW w:w="1065" w:type="dxa"/>
            <w:shd w:val="clear" w:color="auto" w:fill="auto"/>
          </w:tcPr>
          <w:p w14:paraId="4B31B32D"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4CB39299" w14:textId="239ACB19" w:rsidR="00B829CE" w:rsidRPr="57492937" w:rsidRDefault="00B829CE" w:rsidP="00B829CE">
            <w:pPr>
              <w:spacing w:after="240"/>
              <w:jc w:val="both"/>
              <w:rPr>
                <w:rFonts w:cs="Arial"/>
              </w:rPr>
            </w:pPr>
            <w:r w:rsidRPr="00B829CE">
              <w:rPr>
                <w:rFonts w:eastAsia="Calibri" w:cs="Times New Roman"/>
                <w:sz w:val="22"/>
              </w:rPr>
              <w:t>To receive and monitor annual review and enhancement reports from Schools with regards to the quality and outcomes of taught provision</w:t>
            </w:r>
            <w:r>
              <w:rPr>
                <w:rFonts w:eastAsia="Calibri" w:cs="Times New Roman"/>
                <w:sz w:val="22"/>
              </w:rPr>
              <w:t>.</w:t>
            </w:r>
          </w:p>
        </w:tc>
      </w:tr>
      <w:tr w:rsidR="00B829CE" w:rsidRPr="00FA3E08" w14:paraId="39361957" w14:textId="77777777" w:rsidTr="0086708E">
        <w:tc>
          <w:tcPr>
            <w:tcW w:w="1065" w:type="dxa"/>
            <w:shd w:val="clear" w:color="auto" w:fill="auto"/>
          </w:tcPr>
          <w:p w14:paraId="323D2509"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6EC290B3" w14:textId="264B5696" w:rsidR="00B829CE" w:rsidRPr="00B829CE" w:rsidRDefault="00B829CE" w:rsidP="005C5D68">
            <w:pPr>
              <w:spacing w:after="160" w:line="259" w:lineRule="auto"/>
              <w:rPr>
                <w:rFonts w:eastAsia="Calibri" w:cs="Times New Roman"/>
                <w:sz w:val="22"/>
              </w:rPr>
            </w:pPr>
            <w:r w:rsidRPr="00B829CE">
              <w:rPr>
                <w:rFonts w:eastAsia="Calibri" w:cs="Times New Roman"/>
                <w:sz w:val="22"/>
              </w:rPr>
              <w:t>To ensure the effectiveness of arrangements for the representation of the individual and collective student voice in the University’s quality framework.</w:t>
            </w:r>
          </w:p>
        </w:tc>
      </w:tr>
      <w:tr w:rsidR="00B829CE" w:rsidRPr="00FA3E08" w14:paraId="25018B4A" w14:textId="77777777" w:rsidTr="0086708E">
        <w:tc>
          <w:tcPr>
            <w:tcW w:w="1065" w:type="dxa"/>
            <w:shd w:val="clear" w:color="auto" w:fill="auto"/>
          </w:tcPr>
          <w:p w14:paraId="11E71221"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618C52E5" w14:textId="77777777" w:rsidR="00B829CE" w:rsidRDefault="00B829CE" w:rsidP="005C5D68">
            <w:pPr>
              <w:spacing w:after="160" w:line="259" w:lineRule="auto"/>
              <w:contextualSpacing/>
              <w:rPr>
                <w:rFonts w:eastAsia="Calibri" w:cs="Times New Roman"/>
                <w:sz w:val="22"/>
              </w:rPr>
            </w:pPr>
            <w:r w:rsidRPr="00BD6FDC">
              <w:rPr>
                <w:rFonts w:eastAsia="Calibri" w:cs="Times New Roman"/>
                <w:sz w:val="22"/>
              </w:rPr>
              <w:t>To oversee and monitor the effective implementation of review recommendations and the dissemination of enhancements identified in reviews regarding academic or student support provision</w:t>
            </w:r>
            <w:r w:rsidR="005C5D68">
              <w:rPr>
                <w:rFonts w:eastAsia="Calibri" w:cs="Times New Roman"/>
                <w:sz w:val="22"/>
              </w:rPr>
              <w:t>.</w:t>
            </w:r>
          </w:p>
          <w:p w14:paraId="68AF37EE" w14:textId="0C5117FB" w:rsidR="0067094D" w:rsidRPr="00630643" w:rsidRDefault="0067094D" w:rsidP="005C5D68">
            <w:pPr>
              <w:spacing w:after="160" w:line="259" w:lineRule="auto"/>
              <w:contextualSpacing/>
              <w:rPr>
                <w:rFonts w:eastAsia="Calibri" w:cs="Times New Roman"/>
                <w:sz w:val="22"/>
              </w:rPr>
            </w:pPr>
          </w:p>
        </w:tc>
      </w:tr>
      <w:tr w:rsidR="00B829CE" w:rsidRPr="00FA3E08" w14:paraId="1F646EA9" w14:textId="77777777" w:rsidTr="0086708E">
        <w:tc>
          <w:tcPr>
            <w:tcW w:w="1065" w:type="dxa"/>
            <w:shd w:val="clear" w:color="auto" w:fill="auto"/>
          </w:tcPr>
          <w:p w14:paraId="16E63967" w14:textId="77777777" w:rsidR="00B829CE" w:rsidRPr="00FA3E08" w:rsidRDefault="00B829CE" w:rsidP="00A24D77">
            <w:pPr>
              <w:pStyle w:val="ListParagraph"/>
              <w:numPr>
                <w:ilvl w:val="0"/>
                <w:numId w:val="15"/>
              </w:numPr>
              <w:spacing w:after="240" w:line="276" w:lineRule="auto"/>
              <w:ind w:left="357" w:hanging="357"/>
              <w:jc w:val="center"/>
            </w:pPr>
          </w:p>
        </w:tc>
        <w:tc>
          <w:tcPr>
            <w:tcW w:w="8574" w:type="dxa"/>
            <w:shd w:val="clear" w:color="auto" w:fill="auto"/>
          </w:tcPr>
          <w:p w14:paraId="1FA3B2CB" w14:textId="77777777" w:rsidR="00B829CE" w:rsidRDefault="005C5D68" w:rsidP="0086708E">
            <w:pPr>
              <w:spacing w:after="160" w:line="259" w:lineRule="auto"/>
              <w:contextualSpacing/>
              <w:rPr>
                <w:rFonts w:eastAsia="Calibri" w:cs="Times New Roman"/>
                <w:sz w:val="22"/>
              </w:rPr>
            </w:pPr>
            <w:r w:rsidRPr="00BD6FDC">
              <w:rPr>
                <w:rFonts w:eastAsia="Calibri" w:cs="Times New Roman"/>
                <w:sz w:val="22"/>
              </w:rPr>
              <w:t>To review internally and externally derived information and data, including feedback from student</w:t>
            </w:r>
            <w:r>
              <w:rPr>
                <w:rFonts w:eastAsia="Calibri" w:cs="Times New Roman"/>
                <w:sz w:val="22"/>
              </w:rPr>
              <w:t xml:space="preserve"> surveys in education.</w:t>
            </w:r>
          </w:p>
          <w:p w14:paraId="1934F33F" w14:textId="65885A7A" w:rsidR="0067094D" w:rsidRPr="00BD6FDC" w:rsidRDefault="0067094D" w:rsidP="0086708E">
            <w:pPr>
              <w:spacing w:after="160" w:line="259" w:lineRule="auto"/>
              <w:contextualSpacing/>
              <w:rPr>
                <w:rFonts w:eastAsia="Calibri" w:cs="Times New Roman"/>
                <w:sz w:val="22"/>
              </w:rPr>
            </w:pPr>
          </w:p>
        </w:tc>
      </w:tr>
      <w:tr w:rsidR="005C5D68" w:rsidRPr="00FA3E08" w14:paraId="522D7B5B" w14:textId="77777777" w:rsidTr="0086708E">
        <w:tc>
          <w:tcPr>
            <w:tcW w:w="1065" w:type="dxa"/>
            <w:shd w:val="clear" w:color="auto" w:fill="auto"/>
          </w:tcPr>
          <w:p w14:paraId="49A6A75A" w14:textId="77777777" w:rsidR="005C5D68" w:rsidRPr="00FA3E08" w:rsidRDefault="005C5D68" w:rsidP="00A24D77">
            <w:pPr>
              <w:pStyle w:val="ListParagraph"/>
              <w:numPr>
                <w:ilvl w:val="0"/>
                <w:numId w:val="15"/>
              </w:numPr>
              <w:spacing w:after="240" w:line="276" w:lineRule="auto"/>
              <w:ind w:left="357" w:hanging="357"/>
              <w:jc w:val="center"/>
            </w:pPr>
          </w:p>
        </w:tc>
        <w:tc>
          <w:tcPr>
            <w:tcW w:w="8574" w:type="dxa"/>
            <w:shd w:val="clear" w:color="auto" w:fill="auto"/>
          </w:tcPr>
          <w:p w14:paraId="09752DEC" w14:textId="77777777" w:rsidR="005C5D68" w:rsidRDefault="005C5D68" w:rsidP="005C5D68">
            <w:pPr>
              <w:spacing w:after="160" w:line="259" w:lineRule="auto"/>
              <w:contextualSpacing/>
              <w:rPr>
                <w:rFonts w:eastAsia="Calibri" w:cs="Times New Roman"/>
                <w:sz w:val="22"/>
              </w:rPr>
            </w:pPr>
            <w:r w:rsidRPr="00BD6FDC">
              <w:rPr>
                <w:rFonts w:eastAsia="Calibri" w:cs="Arial"/>
                <w:sz w:val="22"/>
              </w:rPr>
              <w:t xml:space="preserve">To monitor the register of university courses </w:t>
            </w:r>
            <w:r w:rsidRPr="00BD6FDC">
              <w:rPr>
                <w:rFonts w:eastAsia="Calibri" w:cs="Times New Roman"/>
                <w:sz w:val="22"/>
              </w:rPr>
              <w:t>registered with a Professional Statutory and Regulatory Bodies (PSRBs) and receive reports from PSRB visits</w:t>
            </w:r>
            <w:r>
              <w:rPr>
                <w:rFonts w:eastAsia="Calibri" w:cs="Times New Roman"/>
                <w:sz w:val="22"/>
              </w:rPr>
              <w:t>.</w:t>
            </w:r>
          </w:p>
          <w:p w14:paraId="196EFEB1" w14:textId="3D608038" w:rsidR="0067094D" w:rsidRPr="00BD6FDC" w:rsidRDefault="0067094D" w:rsidP="005C5D68">
            <w:pPr>
              <w:spacing w:after="160" w:line="259" w:lineRule="auto"/>
              <w:contextualSpacing/>
              <w:rPr>
                <w:rFonts w:eastAsia="Calibri" w:cs="Times New Roman"/>
                <w:sz w:val="22"/>
              </w:rPr>
            </w:pPr>
          </w:p>
        </w:tc>
      </w:tr>
      <w:tr w:rsidR="005C5D68" w:rsidRPr="00FA3E08" w14:paraId="26B1C45E" w14:textId="77777777" w:rsidTr="0086708E">
        <w:tc>
          <w:tcPr>
            <w:tcW w:w="1065" w:type="dxa"/>
            <w:shd w:val="clear" w:color="auto" w:fill="auto"/>
          </w:tcPr>
          <w:p w14:paraId="23F53A65" w14:textId="77777777" w:rsidR="005C5D68" w:rsidRPr="00FA3E08" w:rsidRDefault="005C5D68" w:rsidP="00A24D77">
            <w:pPr>
              <w:pStyle w:val="ListParagraph"/>
              <w:numPr>
                <w:ilvl w:val="0"/>
                <w:numId w:val="15"/>
              </w:numPr>
              <w:spacing w:after="240" w:line="276" w:lineRule="auto"/>
              <w:ind w:left="357" w:hanging="357"/>
              <w:jc w:val="center"/>
            </w:pPr>
          </w:p>
        </w:tc>
        <w:tc>
          <w:tcPr>
            <w:tcW w:w="8574" w:type="dxa"/>
            <w:shd w:val="clear" w:color="auto" w:fill="auto"/>
          </w:tcPr>
          <w:p w14:paraId="11CDFEB9" w14:textId="67F223A6" w:rsidR="005C5D68" w:rsidRPr="00BD6FDC" w:rsidRDefault="005C5D68" w:rsidP="005C5D68">
            <w:pPr>
              <w:spacing w:after="160" w:line="259" w:lineRule="auto"/>
              <w:contextualSpacing/>
              <w:rPr>
                <w:rFonts w:eastAsia="Calibri" w:cs="Arial"/>
                <w:sz w:val="22"/>
              </w:rPr>
            </w:pPr>
            <w:r w:rsidRPr="00630643">
              <w:rPr>
                <w:rFonts w:eastAsia="Calibri" w:cs="Arial"/>
                <w:sz w:val="22"/>
              </w:rPr>
              <w:t>To oversee periodic internal subject reviews and disseminating any recommendations</w:t>
            </w:r>
            <w:r>
              <w:rPr>
                <w:rFonts w:eastAsia="Calibri" w:cs="Arial"/>
                <w:sz w:val="22"/>
              </w:rPr>
              <w:t>.</w:t>
            </w:r>
          </w:p>
        </w:tc>
      </w:tr>
      <w:tr w:rsidR="005C5D68" w:rsidRPr="00FA3E08" w14:paraId="5200D3B1" w14:textId="77777777" w:rsidTr="0086708E">
        <w:tc>
          <w:tcPr>
            <w:tcW w:w="1065" w:type="dxa"/>
            <w:shd w:val="clear" w:color="auto" w:fill="auto"/>
          </w:tcPr>
          <w:p w14:paraId="5BE1AA81" w14:textId="77777777" w:rsidR="005C5D68" w:rsidRPr="00FA3E08" w:rsidRDefault="005C5D68" w:rsidP="00A24D77">
            <w:pPr>
              <w:pStyle w:val="ListParagraph"/>
              <w:numPr>
                <w:ilvl w:val="0"/>
                <w:numId w:val="15"/>
              </w:numPr>
              <w:spacing w:after="240" w:line="276" w:lineRule="auto"/>
              <w:ind w:left="357" w:hanging="357"/>
              <w:jc w:val="center"/>
            </w:pPr>
          </w:p>
        </w:tc>
        <w:tc>
          <w:tcPr>
            <w:tcW w:w="8574" w:type="dxa"/>
            <w:shd w:val="clear" w:color="auto" w:fill="auto"/>
          </w:tcPr>
          <w:p w14:paraId="7B56F4F8" w14:textId="27218CF5" w:rsidR="005C5D68" w:rsidRPr="00630643" w:rsidRDefault="005C5D68" w:rsidP="005C5D68">
            <w:pPr>
              <w:spacing w:after="160" w:line="259" w:lineRule="auto"/>
              <w:contextualSpacing/>
              <w:rPr>
                <w:rFonts w:eastAsia="Calibri" w:cs="Arial"/>
                <w:sz w:val="22"/>
              </w:rPr>
            </w:pPr>
            <w:r>
              <w:rPr>
                <w:rFonts w:eastAsia="Calibri" w:cs="Arial"/>
                <w:sz w:val="22"/>
              </w:rPr>
              <w:t>To annually award University Prizes (education) to students.</w:t>
            </w:r>
          </w:p>
        </w:tc>
      </w:tr>
      <w:tr w:rsidR="00A24D77" w:rsidRPr="00FA3E08" w14:paraId="0D828898" w14:textId="77777777" w:rsidTr="0086708E">
        <w:tc>
          <w:tcPr>
            <w:tcW w:w="9639" w:type="dxa"/>
            <w:gridSpan w:val="2"/>
            <w:shd w:val="clear" w:color="auto" w:fill="auto"/>
          </w:tcPr>
          <w:p w14:paraId="097BD603" w14:textId="77777777" w:rsidR="00630643" w:rsidRDefault="00630643" w:rsidP="00A24D77">
            <w:pPr>
              <w:spacing w:after="240"/>
              <w:jc w:val="both"/>
              <w:rPr>
                <w:b/>
                <w:bCs/>
              </w:rPr>
            </w:pPr>
          </w:p>
          <w:p w14:paraId="480F4979" w14:textId="57AC5669" w:rsidR="00A24D77" w:rsidRPr="00A24D77" w:rsidRDefault="00A24D77" w:rsidP="00A24D77">
            <w:pPr>
              <w:spacing w:after="240"/>
              <w:jc w:val="both"/>
              <w:rPr>
                <w:b/>
                <w:bCs/>
              </w:rPr>
            </w:pPr>
            <w:r w:rsidRPr="56ABFC2F">
              <w:rPr>
                <w:b/>
                <w:bCs/>
              </w:rPr>
              <w:t>Curriculum Development</w:t>
            </w:r>
          </w:p>
        </w:tc>
      </w:tr>
      <w:tr w:rsidR="00140B5E" w:rsidRPr="00FA3E08" w14:paraId="3FD7F8F0" w14:textId="77777777" w:rsidTr="0086708E">
        <w:tc>
          <w:tcPr>
            <w:tcW w:w="1065" w:type="dxa"/>
            <w:shd w:val="clear" w:color="auto" w:fill="auto"/>
          </w:tcPr>
          <w:p w14:paraId="4BE3DFE6" w14:textId="23C28E5B" w:rsidR="00140B5E" w:rsidRPr="00FA3E08" w:rsidRDefault="001A5BD7" w:rsidP="54C45637">
            <w:pPr>
              <w:spacing w:after="240" w:line="276" w:lineRule="auto"/>
              <w:jc w:val="center"/>
            </w:pPr>
            <w:r>
              <w:t>14.</w:t>
            </w:r>
          </w:p>
        </w:tc>
        <w:tc>
          <w:tcPr>
            <w:tcW w:w="8574" w:type="dxa"/>
            <w:shd w:val="clear" w:color="auto" w:fill="auto"/>
          </w:tcPr>
          <w:p w14:paraId="001EFCE1" w14:textId="3B03D97B" w:rsidR="00A24D77" w:rsidRPr="00FA3E08" w:rsidRDefault="1907EE58" w:rsidP="0086708E">
            <w:pPr>
              <w:spacing w:after="240"/>
              <w:jc w:val="both"/>
            </w:pPr>
            <w:r>
              <w:t>To over</w:t>
            </w:r>
            <w:r w:rsidR="0037329B">
              <w:t>see</w:t>
            </w:r>
            <w:r>
              <w:t xml:space="preserve"> a process for c</w:t>
            </w:r>
            <w:r w:rsidR="4FF2827C">
              <w:t>onsider</w:t>
            </w:r>
            <w:r w:rsidR="22E7B1A5">
              <w:t>ing</w:t>
            </w:r>
            <w:r w:rsidR="4FF2827C">
              <w:t xml:space="preserve"> and review</w:t>
            </w:r>
            <w:r w:rsidR="4F9F43C5">
              <w:t>ing</w:t>
            </w:r>
            <w:r w:rsidR="4FF2827C">
              <w:t xml:space="preserve"> proposals for new courses</w:t>
            </w:r>
            <w:r w:rsidR="1EE685BD">
              <w:t xml:space="preserve"> and revalidation of existing courses</w:t>
            </w:r>
            <w:r w:rsidR="4FF2827C">
              <w:t xml:space="preserve">, following School approval and resource </w:t>
            </w:r>
            <w:r w:rsidR="5701764B">
              <w:t>confirmation.</w:t>
            </w:r>
          </w:p>
        </w:tc>
      </w:tr>
      <w:tr w:rsidR="00140B5E" w:rsidRPr="00FA3E08" w14:paraId="2BDE66C2" w14:textId="77777777" w:rsidTr="0086708E">
        <w:tc>
          <w:tcPr>
            <w:tcW w:w="1065" w:type="dxa"/>
            <w:shd w:val="clear" w:color="auto" w:fill="auto"/>
          </w:tcPr>
          <w:p w14:paraId="1BBF0819" w14:textId="02FEAFFF" w:rsidR="00140B5E" w:rsidRPr="00FA3E08" w:rsidRDefault="001A5BD7" w:rsidP="54C45637">
            <w:pPr>
              <w:spacing w:after="240" w:line="276" w:lineRule="auto"/>
              <w:jc w:val="center"/>
            </w:pPr>
            <w:r>
              <w:t>16.</w:t>
            </w:r>
          </w:p>
        </w:tc>
        <w:tc>
          <w:tcPr>
            <w:tcW w:w="8574" w:type="dxa"/>
            <w:shd w:val="clear" w:color="auto" w:fill="auto"/>
          </w:tcPr>
          <w:p w14:paraId="0AA660DB" w14:textId="534D6597" w:rsidR="00A24D77" w:rsidRPr="00FA3E08" w:rsidRDefault="001A5BD7" w:rsidP="00A24D77">
            <w:pPr>
              <w:spacing w:after="240"/>
              <w:rPr>
                <w:rFonts w:cs="Arial"/>
              </w:rPr>
            </w:pPr>
            <w:r w:rsidRPr="54C45637">
              <w:rPr>
                <w:rFonts w:cs="Arial"/>
              </w:rPr>
              <w:t xml:space="preserve">To maintain a course closure </w:t>
            </w:r>
            <w:r>
              <w:rPr>
                <w:rFonts w:cs="Arial"/>
              </w:rPr>
              <w:t xml:space="preserve">and suspension </w:t>
            </w:r>
            <w:r w:rsidRPr="54C45637">
              <w:rPr>
                <w:rFonts w:cs="Arial"/>
              </w:rPr>
              <w:t xml:space="preserve">policy </w:t>
            </w:r>
            <w:r>
              <w:rPr>
                <w:rFonts w:cs="Arial"/>
              </w:rPr>
              <w:t>and</w:t>
            </w:r>
            <w:r w:rsidRPr="54C45637">
              <w:rPr>
                <w:rFonts w:cs="Arial"/>
              </w:rPr>
              <w:t xml:space="preserve"> to oversee this</w:t>
            </w:r>
            <w:r>
              <w:rPr>
                <w:rFonts w:cs="Arial"/>
              </w:rPr>
              <w:t xml:space="preserve"> process</w:t>
            </w:r>
            <w:r w:rsidRPr="54C45637">
              <w:rPr>
                <w:rFonts w:cs="Arial"/>
              </w:rPr>
              <w:t>.</w:t>
            </w:r>
          </w:p>
        </w:tc>
      </w:tr>
      <w:tr w:rsidR="00A24D77" w:rsidRPr="00FA3E08" w14:paraId="63AAEC2C" w14:textId="77777777" w:rsidTr="0086708E">
        <w:tc>
          <w:tcPr>
            <w:tcW w:w="9639" w:type="dxa"/>
            <w:gridSpan w:val="2"/>
            <w:shd w:val="clear" w:color="auto" w:fill="auto"/>
          </w:tcPr>
          <w:p w14:paraId="2395A527" w14:textId="77777777" w:rsidR="001A5BD7" w:rsidRDefault="001A5BD7" w:rsidP="00A24D77">
            <w:pPr>
              <w:spacing w:after="240"/>
              <w:rPr>
                <w:b/>
                <w:bCs/>
              </w:rPr>
            </w:pPr>
          </w:p>
          <w:p w14:paraId="0E4762EE" w14:textId="5B3F39B4" w:rsidR="00A24D77" w:rsidRPr="00A24D77" w:rsidRDefault="00A24D77" w:rsidP="00A24D77">
            <w:pPr>
              <w:spacing w:after="240"/>
            </w:pPr>
            <w:r w:rsidRPr="0DD62DEF">
              <w:rPr>
                <w:b/>
                <w:bCs/>
              </w:rPr>
              <w:t>Collaborative Provision</w:t>
            </w:r>
          </w:p>
        </w:tc>
      </w:tr>
      <w:tr w:rsidR="00A24D77" w:rsidRPr="00FA3E08" w14:paraId="4DCD25C6" w14:textId="77777777" w:rsidTr="0086708E">
        <w:tc>
          <w:tcPr>
            <w:tcW w:w="1065" w:type="dxa"/>
            <w:shd w:val="clear" w:color="auto" w:fill="auto"/>
          </w:tcPr>
          <w:p w14:paraId="2C977552" w14:textId="6038EB05" w:rsidR="00A24D77" w:rsidRPr="00FA3E08" w:rsidRDefault="001A5BD7" w:rsidP="001A5BD7">
            <w:pPr>
              <w:pStyle w:val="ListParagraph"/>
              <w:spacing w:after="240" w:line="276" w:lineRule="auto"/>
              <w:ind w:left="357"/>
            </w:pPr>
            <w:r>
              <w:t>17.</w:t>
            </w:r>
          </w:p>
        </w:tc>
        <w:tc>
          <w:tcPr>
            <w:tcW w:w="8574" w:type="dxa"/>
            <w:shd w:val="clear" w:color="auto" w:fill="auto"/>
          </w:tcPr>
          <w:p w14:paraId="497CA4DA" w14:textId="08D54E8A" w:rsidR="00A24D77" w:rsidRPr="00FA3E08" w:rsidRDefault="00A24D77" w:rsidP="00A24D77">
            <w:pPr>
              <w:spacing w:after="240"/>
            </w:pPr>
            <w:r>
              <w:t xml:space="preserve">To develop and maintain an overall academic plan for collaborative provision </w:t>
            </w:r>
            <w:r w:rsidR="00822195">
              <w:t>(</w:t>
            </w:r>
            <w:r w:rsidR="23F77657">
              <w:t xml:space="preserve">educational </w:t>
            </w:r>
            <w:r w:rsidR="00822195">
              <w:t xml:space="preserve">partnerships) </w:t>
            </w:r>
            <w:r>
              <w:t>for the University</w:t>
            </w:r>
            <w:r w:rsidR="0067094D">
              <w:t>.</w:t>
            </w:r>
          </w:p>
        </w:tc>
      </w:tr>
      <w:tr w:rsidR="00A24D77" w:rsidRPr="00FA3E08" w14:paraId="43A3A142" w14:textId="77777777" w:rsidTr="0086708E">
        <w:tc>
          <w:tcPr>
            <w:tcW w:w="1065" w:type="dxa"/>
            <w:shd w:val="clear" w:color="auto" w:fill="auto"/>
          </w:tcPr>
          <w:p w14:paraId="1601ACCD" w14:textId="040E01A2" w:rsidR="00A24D77" w:rsidRPr="00FA3E08" w:rsidRDefault="001A5BD7" w:rsidP="001A5BD7">
            <w:pPr>
              <w:pStyle w:val="ListParagraph"/>
              <w:spacing w:after="240" w:line="276" w:lineRule="auto"/>
              <w:ind w:left="357"/>
            </w:pPr>
            <w:r>
              <w:t>18.</w:t>
            </w:r>
          </w:p>
        </w:tc>
        <w:tc>
          <w:tcPr>
            <w:tcW w:w="8574" w:type="dxa"/>
            <w:shd w:val="clear" w:color="auto" w:fill="auto"/>
          </w:tcPr>
          <w:p w14:paraId="594EEB3E" w14:textId="3DB2A0F3" w:rsidR="00A24D77" w:rsidRPr="00FA3E08" w:rsidRDefault="00A24D77" w:rsidP="00A24D77">
            <w:pPr>
              <w:spacing w:after="240"/>
            </w:pPr>
            <w:r>
              <w:t xml:space="preserve">To consider proposals for collaborative </w:t>
            </w:r>
            <w:r w:rsidR="5D1DDDE7">
              <w:t xml:space="preserve">educational </w:t>
            </w:r>
            <w:r>
              <w:t>provision with other institutions or organisations involving an academic award from the University</w:t>
            </w:r>
            <w:r w:rsidR="0067094D">
              <w:t>.</w:t>
            </w:r>
            <w:r>
              <w:t xml:space="preserve"> </w:t>
            </w:r>
          </w:p>
        </w:tc>
      </w:tr>
      <w:tr w:rsidR="00A24D77" w:rsidRPr="00FA3E08" w14:paraId="761EC947" w14:textId="77777777" w:rsidTr="0086708E">
        <w:tc>
          <w:tcPr>
            <w:tcW w:w="1065" w:type="dxa"/>
            <w:shd w:val="clear" w:color="auto" w:fill="auto"/>
          </w:tcPr>
          <w:p w14:paraId="45B9FA9E" w14:textId="50A92D6D" w:rsidR="00A24D77" w:rsidRPr="00FA3E08" w:rsidRDefault="001A5BD7" w:rsidP="001A5BD7">
            <w:pPr>
              <w:pStyle w:val="ListParagraph"/>
              <w:spacing w:after="240" w:line="276" w:lineRule="auto"/>
              <w:ind w:left="357"/>
            </w:pPr>
            <w:r>
              <w:t>19.</w:t>
            </w:r>
          </w:p>
        </w:tc>
        <w:tc>
          <w:tcPr>
            <w:tcW w:w="8574" w:type="dxa"/>
            <w:shd w:val="clear" w:color="auto" w:fill="auto"/>
          </w:tcPr>
          <w:p w14:paraId="0AD05A24" w14:textId="16A9C7C4" w:rsidR="00A24D77" w:rsidRPr="00FA3E08" w:rsidRDefault="00B829CE" w:rsidP="00A24D77">
            <w:pPr>
              <w:spacing w:after="240"/>
            </w:pPr>
            <w:r>
              <w:t>To receive annual reviews and enhancement plans for UG and PGT courses offered as part of an academic partnership arrangement</w:t>
            </w:r>
          </w:p>
        </w:tc>
      </w:tr>
      <w:tr w:rsidR="00A24D77" w:rsidRPr="00FA3E08" w14:paraId="6801B713" w14:textId="77777777" w:rsidTr="0086708E">
        <w:tc>
          <w:tcPr>
            <w:tcW w:w="9639" w:type="dxa"/>
            <w:gridSpan w:val="2"/>
            <w:shd w:val="clear" w:color="auto" w:fill="auto"/>
          </w:tcPr>
          <w:p w14:paraId="18AD97A1" w14:textId="77777777" w:rsidR="001A5BD7" w:rsidRDefault="001A5BD7" w:rsidP="00A24D77">
            <w:pPr>
              <w:spacing w:after="240"/>
              <w:rPr>
                <w:b/>
                <w:bCs/>
              </w:rPr>
            </w:pPr>
          </w:p>
          <w:p w14:paraId="418009B8" w14:textId="05408EA9" w:rsidR="00A24D77" w:rsidRPr="00A24D77" w:rsidRDefault="00A24D77" w:rsidP="00A24D77">
            <w:pPr>
              <w:spacing w:after="240"/>
              <w:rPr>
                <w:b/>
                <w:bCs/>
              </w:rPr>
            </w:pPr>
            <w:r w:rsidRPr="57492937">
              <w:rPr>
                <w:b/>
                <w:bCs/>
              </w:rPr>
              <w:t>External Environment</w:t>
            </w:r>
          </w:p>
        </w:tc>
      </w:tr>
      <w:tr w:rsidR="00A24D77" w:rsidRPr="00FA3E08" w14:paraId="529C8B36" w14:textId="77777777" w:rsidTr="0086708E">
        <w:tc>
          <w:tcPr>
            <w:tcW w:w="1065" w:type="dxa"/>
            <w:shd w:val="clear" w:color="auto" w:fill="auto"/>
          </w:tcPr>
          <w:p w14:paraId="14ABFD87" w14:textId="4D0E95C3" w:rsidR="00A24D77" w:rsidRPr="00FA3E08" w:rsidRDefault="001A5BD7" w:rsidP="001A5BD7">
            <w:pPr>
              <w:pStyle w:val="ListParagraph"/>
              <w:spacing w:after="240" w:line="276" w:lineRule="auto"/>
              <w:ind w:left="357"/>
            </w:pPr>
            <w:r>
              <w:t>20.</w:t>
            </w:r>
          </w:p>
        </w:tc>
        <w:tc>
          <w:tcPr>
            <w:tcW w:w="8574" w:type="dxa"/>
            <w:shd w:val="clear" w:color="auto" w:fill="auto"/>
          </w:tcPr>
          <w:p w14:paraId="2529E0A9" w14:textId="7C7F60D4" w:rsidR="00A24D77" w:rsidRPr="00FA3E08" w:rsidRDefault="00A24D77" w:rsidP="00A24D77">
            <w:pPr>
              <w:spacing w:after="240"/>
            </w:pPr>
            <w:r>
              <w:t xml:space="preserve">To </w:t>
            </w:r>
            <w:r w:rsidR="79EE3D25">
              <w:t xml:space="preserve">consider </w:t>
            </w:r>
            <w:r>
              <w:t>responses to consultations on teaching and learning matters, including the Teaching Excellence Framework</w:t>
            </w:r>
            <w:r w:rsidR="0067094D">
              <w:t>.</w:t>
            </w:r>
          </w:p>
        </w:tc>
      </w:tr>
      <w:tr w:rsidR="00A24D77" w:rsidRPr="00FA3E08" w14:paraId="2553AB42" w14:textId="77777777" w:rsidTr="0086708E">
        <w:tc>
          <w:tcPr>
            <w:tcW w:w="1065" w:type="dxa"/>
            <w:shd w:val="clear" w:color="auto" w:fill="auto"/>
          </w:tcPr>
          <w:p w14:paraId="30EF8D0F" w14:textId="306AFF36" w:rsidR="00A24D77" w:rsidRPr="00FA3E08" w:rsidRDefault="001A5BD7" w:rsidP="001A5BD7">
            <w:pPr>
              <w:pStyle w:val="ListParagraph"/>
              <w:spacing w:after="240" w:line="276" w:lineRule="auto"/>
              <w:ind w:left="357"/>
            </w:pPr>
            <w:r>
              <w:t>21.</w:t>
            </w:r>
          </w:p>
        </w:tc>
        <w:tc>
          <w:tcPr>
            <w:tcW w:w="8574" w:type="dxa"/>
            <w:shd w:val="clear" w:color="auto" w:fill="auto"/>
          </w:tcPr>
          <w:p w14:paraId="710343F9" w14:textId="581C62CC" w:rsidR="00A24D77" w:rsidRPr="00FA3E08" w:rsidRDefault="00A24D77" w:rsidP="00A24D77">
            <w:pPr>
              <w:spacing w:after="240"/>
            </w:pPr>
            <w:r w:rsidRPr="00A24D77">
              <w:t>To support the preparation for Teaching Excellence Framework at an institutional level and implement institutional actions to improve the metrics associated with it</w:t>
            </w:r>
            <w:r w:rsidR="0086708E">
              <w:t>.</w:t>
            </w:r>
          </w:p>
        </w:tc>
      </w:tr>
      <w:tr w:rsidR="00A24D77" w:rsidRPr="00FA3E08" w14:paraId="7955EDA4" w14:textId="77777777" w:rsidTr="0086708E">
        <w:tc>
          <w:tcPr>
            <w:tcW w:w="1065" w:type="dxa"/>
            <w:shd w:val="clear" w:color="auto" w:fill="auto"/>
          </w:tcPr>
          <w:p w14:paraId="1B6D10FC" w14:textId="0DC36C4A" w:rsidR="00A24D77" w:rsidRPr="00FA3E08" w:rsidRDefault="001A5BD7" w:rsidP="001A5BD7">
            <w:pPr>
              <w:pStyle w:val="ListParagraph"/>
              <w:spacing w:after="240" w:line="276" w:lineRule="auto"/>
              <w:ind w:left="357"/>
            </w:pPr>
            <w:r>
              <w:lastRenderedPageBreak/>
              <w:t>22.</w:t>
            </w:r>
          </w:p>
        </w:tc>
        <w:tc>
          <w:tcPr>
            <w:tcW w:w="8574" w:type="dxa"/>
            <w:shd w:val="clear" w:color="auto" w:fill="auto"/>
          </w:tcPr>
          <w:p w14:paraId="42315350" w14:textId="1DBF7255" w:rsidR="00A24D77" w:rsidRPr="00FA3E08" w:rsidRDefault="00A24D77" w:rsidP="0086708E">
            <w:pPr>
              <w:spacing w:after="240"/>
            </w:pPr>
            <w:r>
              <w:t>To support the development of the Access and Participation Plan</w:t>
            </w:r>
            <w:r w:rsidR="0086708E">
              <w:t>.</w:t>
            </w:r>
          </w:p>
        </w:tc>
      </w:tr>
      <w:tr w:rsidR="0086708E" w:rsidRPr="00FA3E08" w14:paraId="00F00953" w14:textId="77777777" w:rsidTr="0086708E">
        <w:tc>
          <w:tcPr>
            <w:tcW w:w="1065" w:type="dxa"/>
            <w:shd w:val="clear" w:color="auto" w:fill="auto"/>
          </w:tcPr>
          <w:p w14:paraId="2EF5A6CC" w14:textId="4F545219" w:rsidR="0086708E" w:rsidRDefault="0086708E" w:rsidP="001A5BD7">
            <w:pPr>
              <w:pStyle w:val="ListParagraph"/>
              <w:spacing w:after="240" w:line="276" w:lineRule="auto"/>
              <w:ind w:left="357"/>
            </w:pPr>
            <w:r>
              <w:t>23.</w:t>
            </w:r>
          </w:p>
        </w:tc>
        <w:tc>
          <w:tcPr>
            <w:tcW w:w="8574" w:type="dxa"/>
            <w:shd w:val="clear" w:color="auto" w:fill="auto"/>
          </w:tcPr>
          <w:p w14:paraId="210CBE5F" w14:textId="7CC2CC16" w:rsidR="0086708E" w:rsidRDefault="0086708E" w:rsidP="0086708E">
            <w:pPr>
              <w:pStyle w:val="ListParagraph"/>
              <w:numPr>
                <w:ilvl w:val="0"/>
                <w:numId w:val="24"/>
              </w:numPr>
              <w:spacing w:after="240"/>
              <w:ind w:left="0" w:hanging="720"/>
            </w:pPr>
            <w:r>
              <w:t>Monitor compliance with Office for Students’ Conditions of Registration relating to educational performance and delivery.</w:t>
            </w:r>
          </w:p>
        </w:tc>
      </w:tr>
    </w:tbl>
    <w:p w14:paraId="4AB8173C" w14:textId="77777777" w:rsidR="00A24D77" w:rsidRDefault="00A24D77" w:rsidP="00D16FA3">
      <w:pPr>
        <w:rPr>
          <w:b/>
        </w:rPr>
      </w:pPr>
    </w:p>
    <w:p w14:paraId="1D468039" w14:textId="5338F266" w:rsidR="00D16FA3" w:rsidRDefault="00D16FA3" w:rsidP="54C45637">
      <w:pPr>
        <w:rPr>
          <w:b/>
          <w:bCs/>
        </w:rPr>
      </w:pPr>
      <w:r w:rsidRPr="0DD62DEF">
        <w:rPr>
          <w:b/>
          <w:bCs/>
        </w:rPr>
        <w:t>Membership</w:t>
      </w:r>
    </w:p>
    <w:p w14:paraId="34B1C48D" w14:textId="77777777" w:rsidR="00D16FA3" w:rsidRDefault="00D16FA3" w:rsidP="00D16FA3">
      <w:pPr>
        <w:rPr>
          <w:b/>
        </w:rPr>
      </w:pPr>
    </w:p>
    <w:tbl>
      <w:tblPr>
        <w:tblStyle w:val="GridTable4-Accent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525"/>
        <w:gridCol w:w="3573"/>
        <w:gridCol w:w="1701"/>
        <w:gridCol w:w="2851"/>
      </w:tblGrid>
      <w:tr w:rsidR="00781187" w14:paraId="6A79C190" w14:textId="77777777" w:rsidTr="0DD62DE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25" w:type="dxa"/>
            <w:tcBorders>
              <w:top w:val="none" w:sz="0" w:space="0" w:color="auto"/>
              <w:left w:val="none" w:sz="0" w:space="0" w:color="auto"/>
              <w:bottom w:val="none" w:sz="0" w:space="0" w:color="auto"/>
              <w:right w:val="none" w:sz="0" w:space="0" w:color="auto"/>
            </w:tcBorders>
          </w:tcPr>
          <w:p w14:paraId="22CE37C1" w14:textId="77777777" w:rsidR="00781187" w:rsidRDefault="00781187" w:rsidP="00970C27">
            <w:r>
              <w:t>Role</w:t>
            </w:r>
          </w:p>
        </w:tc>
        <w:tc>
          <w:tcPr>
            <w:tcW w:w="3573" w:type="dxa"/>
            <w:tcBorders>
              <w:top w:val="none" w:sz="0" w:space="0" w:color="auto"/>
              <w:left w:val="none" w:sz="0" w:space="0" w:color="auto"/>
              <w:bottom w:val="single" w:sz="4" w:space="0" w:color="auto"/>
              <w:right w:val="none" w:sz="0" w:space="0" w:color="auto"/>
            </w:tcBorders>
          </w:tcPr>
          <w:p w14:paraId="5C3DBB7B" w14:textId="525E395A" w:rsidR="00781187" w:rsidRDefault="00A24D77" w:rsidP="006C470E">
            <w:pPr>
              <w:ind w:left="215" w:hanging="215"/>
              <w:cnfStyle w:val="100000000000" w:firstRow="1" w:lastRow="0" w:firstColumn="0" w:lastColumn="0" w:oddVBand="0" w:evenVBand="0" w:oddHBand="0" w:evenHBand="0" w:firstRowFirstColumn="0" w:firstRowLastColumn="0" w:lastRowFirstColumn="0" w:lastRowLastColumn="0"/>
            </w:pPr>
            <w:r>
              <w:t>Constituency</w:t>
            </w:r>
          </w:p>
        </w:tc>
        <w:tc>
          <w:tcPr>
            <w:tcW w:w="1701" w:type="dxa"/>
            <w:tcBorders>
              <w:top w:val="none" w:sz="0" w:space="0" w:color="auto"/>
              <w:left w:val="none" w:sz="0" w:space="0" w:color="auto"/>
              <w:bottom w:val="single" w:sz="4" w:space="0" w:color="auto"/>
              <w:right w:val="none" w:sz="0" w:space="0" w:color="auto"/>
            </w:tcBorders>
          </w:tcPr>
          <w:p w14:paraId="474E4BC1" w14:textId="77777777" w:rsidR="00781187" w:rsidRDefault="00781187" w:rsidP="006C470E">
            <w:pPr>
              <w:ind w:left="220" w:hanging="220"/>
              <w:cnfStyle w:val="100000000000" w:firstRow="1" w:lastRow="0" w:firstColumn="0" w:lastColumn="0" w:oddVBand="0" w:evenVBand="0" w:oddHBand="0" w:evenHBand="0" w:firstRowFirstColumn="0" w:firstRowLastColumn="0" w:lastRowFirstColumn="0" w:lastRowLastColumn="0"/>
            </w:pPr>
            <w:r>
              <w:t>Appointed by</w:t>
            </w:r>
          </w:p>
        </w:tc>
        <w:tc>
          <w:tcPr>
            <w:tcW w:w="2851" w:type="dxa"/>
            <w:tcBorders>
              <w:top w:val="none" w:sz="0" w:space="0" w:color="auto"/>
              <w:left w:val="none" w:sz="0" w:space="0" w:color="auto"/>
              <w:bottom w:val="single" w:sz="4" w:space="0" w:color="auto"/>
              <w:right w:val="none" w:sz="0" w:space="0" w:color="auto"/>
            </w:tcBorders>
          </w:tcPr>
          <w:p w14:paraId="21BCFE70" w14:textId="77777777" w:rsidR="00781187" w:rsidRDefault="00781187" w:rsidP="006C470E">
            <w:pPr>
              <w:ind w:left="279" w:hanging="279"/>
              <w:cnfStyle w:val="100000000000" w:firstRow="1" w:lastRow="0" w:firstColumn="0" w:lastColumn="0" w:oddVBand="0" w:evenVBand="0" w:oddHBand="0" w:evenHBand="0" w:firstRowFirstColumn="0" w:firstRowLastColumn="0" w:lastRowFirstColumn="0" w:lastRowLastColumn="0"/>
            </w:pPr>
            <w:r>
              <w:t>Name</w:t>
            </w:r>
          </w:p>
        </w:tc>
      </w:tr>
      <w:tr w:rsidR="00A24D77" w14:paraId="3A0576B6"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C0397F6" w14:textId="77777777" w:rsidR="00A24D77" w:rsidRPr="00781187" w:rsidRDefault="00A24D77" w:rsidP="00A24D77">
            <w:pPr>
              <w:rPr>
                <w:b w:val="0"/>
              </w:rPr>
            </w:pPr>
            <w:r w:rsidRPr="00781187">
              <w:rPr>
                <w:b w:val="0"/>
              </w:rPr>
              <w:t>Chair</w:t>
            </w:r>
          </w:p>
        </w:tc>
        <w:tc>
          <w:tcPr>
            <w:tcW w:w="3573" w:type="dxa"/>
            <w:tcBorders>
              <w:bottom w:val="single" w:sz="4" w:space="0" w:color="auto"/>
              <w:right w:val="nil"/>
            </w:tcBorders>
          </w:tcPr>
          <w:p w14:paraId="10E9B2BA" w14:textId="08B59ADE" w:rsidR="00A24D77" w:rsidRDefault="009242DB" w:rsidP="00E41A08">
            <w:pPr>
              <w:cnfStyle w:val="000000100000" w:firstRow="0" w:lastRow="0" w:firstColumn="0" w:lastColumn="0" w:oddVBand="0" w:evenVBand="0" w:oddHBand="1" w:evenHBand="0" w:firstRowFirstColumn="0" w:firstRowLastColumn="0" w:lastRowFirstColumn="0" w:lastRowLastColumn="0"/>
            </w:pPr>
            <w:r>
              <w:t xml:space="preserve">Interim </w:t>
            </w:r>
            <w:r w:rsidR="00A24D77" w:rsidRPr="00B266F0">
              <w:t>Pro-Vice-Chancellor Education</w:t>
            </w:r>
            <w:r w:rsidR="00A24D77">
              <w:t xml:space="preserve"> and Student Experience</w:t>
            </w:r>
          </w:p>
        </w:tc>
        <w:tc>
          <w:tcPr>
            <w:tcW w:w="1701" w:type="dxa"/>
            <w:tcBorders>
              <w:left w:val="nil"/>
              <w:bottom w:val="single" w:sz="4" w:space="0" w:color="auto"/>
              <w:right w:val="nil"/>
            </w:tcBorders>
          </w:tcPr>
          <w:p w14:paraId="707A54CC" w14:textId="7235B780" w:rsidR="00A24D77" w:rsidRDefault="00A24D77" w:rsidP="00A24D77">
            <w:pPr>
              <w:ind w:left="220" w:hanging="220"/>
              <w:cnfStyle w:val="000000100000" w:firstRow="0" w:lastRow="0" w:firstColumn="0" w:lastColumn="0" w:oddVBand="0" w:evenVBand="0" w:oddHBand="1" w:evenHBand="0" w:firstRowFirstColumn="0" w:firstRowLastColumn="0" w:lastRowFirstColumn="0" w:lastRowLastColumn="0"/>
            </w:pPr>
            <w:r w:rsidRPr="00B266F0">
              <w:t>Ex Officio</w:t>
            </w:r>
          </w:p>
        </w:tc>
        <w:tc>
          <w:tcPr>
            <w:tcW w:w="2851" w:type="dxa"/>
            <w:tcBorders>
              <w:left w:val="nil"/>
              <w:bottom w:val="single" w:sz="4" w:space="0" w:color="auto"/>
            </w:tcBorders>
          </w:tcPr>
          <w:p w14:paraId="2013FE0A" w14:textId="5CA5B2C2" w:rsidR="00A24D77" w:rsidRDefault="00A24D77" w:rsidP="00A24D77">
            <w:pPr>
              <w:ind w:left="279" w:hanging="279"/>
              <w:cnfStyle w:val="000000100000" w:firstRow="0" w:lastRow="0" w:firstColumn="0" w:lastColumn="0" w:oddVBand="0" w:evenVBand="0" w:oddHBand="1" w:evenHBand="0" w:firstRowFirstColumn="0" w:firstRowLastColumn="0" w:lastRowFirstColumn="0" w:lastRowLastColumn="0"/>
            </w:pPr>
            <w:r w:rsidRPr="00B266F0">
              <w:t xml:space="preserve">Professor </w:t>
            </w:r>
            <w:r w:rsidR="009242DB">
              <w:t>Wyn Morgan</w:t>
            </w:r>
          </w:p>
        </w:tc>
      </w:tr>
      <w:tr w:rsidR="009242DB" w14:paraId="6705D42E" w14:textId="77777777" w:rsidTr="0DD62DEF">
        <w:tc>
          <w:tcPr>
            <w:cnfStyle w:val="001000000000" w:firstRow="0" w:lastRow="0" w:firstColumn="1" w:lastColumn="0" w:oddVBand="0" w:evenVBand="0" w:oddHBand="0" w:evenHBand="0" w:firstRowFirstColumn="0" w:firstRowLastColumn="0" w:lastRowFirstColumn="0" w:lastRowLastColumn="0"/>
            <w:tcW w:w="1525" w:type="dxa"/>
          </w:tcPr>
          <w:p w14:paraId="2BA9A1CC" w14:textId="5B978B54" w:rsidR="009242DB" w:rsidRPr="009242DB" w:rsidRDefault="009242DB" w:rsidP="00A24D77">
            <w:pPr>
              <w:rPr>
                <w:b w:val="0"/>
                <w:bCs w:val="0"/>
              </w:rPr>
            </w:pPr>
            <w:r w:rsidRPr="009242DB">
              <w:rPr>
                <w:b w:val="0"/>
                <w:bCs w:val="0"/>
              </w:rPr>
              <w:t>Deputy Chair</w:t>
            </w:r>
          </w:p>
        </w:tc>
        <w:tc>
          <w:tcPr>
            <w:tcW w:w="3573" w:type="dxa"/>
            <w:tcBorders>
              <w:bottom w:val="single" w:sz="4" w:space="0" w:color="auto"/>
              <w:right w:val="nil"/>
            </w:tcBorders>
          </w:tcPr>
          <w:p w14:paraId="25B0E474" w14:textId="58615E7B" w:rsidR="009242DB" w:rsidRPr="009242DB" w:rsidRDefault="009242DB" w:rsidP="00E41A08">
            <w:pPr>
              <w:cnfStyle w:val="000000000000" w:firstRow="0" w:lastRow="0" w:firstColumn="0" w:lastColumn="0" w:oddVBand="0" w:evenVBand="0" w:oddHBand="0" w:evenHBand="0" w:firstRowFirstColumn="0" w:firstRowLastColumn="0" w:lastRowFirstColumn="0" w:lastRowLastColumn="0"/>
            </w:pPr>
            <w:r>
              <w:t>Associate-Pro-Vice-Chancellor Inclusive Learning and Teaching</w:t>
            </w:r>
          </w:p>
        </w:tc>
        <w:tc>
          <w:tcPr>
            <w:tcW w:w="1701" w:type="dxa"/>
            <w:tcBorders>
              <w:left w:val="nil"/>
              <w:bottom w:val="single" w:sz="4" w:space="0" w:color="auto"/>
              <w:right w:val="nil"/>
            </w:tcBorders>
          </w:tcPr>
          <w:p w14:paraId="0E390BB6" w14:textId="7B22BD53" w:rsidR="009242DB" w:rsidRPr="009242DB" w:rsidRDefault="009242DB" w:rsidP="00A24D77">
            <w:pPr>
              <w:ind w:left="220" w:hanging="220"/>
              <w:cnfStyle w:val="000000000000" w:firstRow="0" w:lastRow="0" w:firstColumn="0" w:lastColumn="0" w:oddVBand="0" w:evenVBand="0" w:oddHBand="0" w:evenHBand="0" w:firstRowFirstColumn="0" w:firstRowLastColumn="0" w:lastRowFirstColumn="0" w:lastRowLastColumn="0"/>
            </w:pPr>
            <w:r>
              <w:t>Ex Officio</w:t>
            </w:r>
          </w:p>
        </w:tc>
        <w:tc>
          <w:tcPr>
            <w:tcW w:w="2851" w:type="dxa"/>
            <w:tcBorders>
              <w:left w:val="nil"/>
              <w:bottom w:val="single" w:sz="4" w:space="0" w:color="auto"/>
            </w:tcBorders>
          </w:tcPr>
          <w:p w14:paraId="3D83093A" w14:textId="76E5B78A" w:rsidR="009242DB" w:rsidRPr="009242DB" w:rsidRDefault="009242DB" w:rsidP="00A24D77">
            <w:pPr>
              <w:ind w:left="279" w:hanging="279"/>
              <w:cnfStyle w:val="000000000000" w:firstRow="0" w:lastRow="0" w:firstColumn="0" w:lastColumn="0" w:oddVBand="0" w:evenVBand="0" w:oddHBand="0" w:evenHBand="0" w:firstRowFirstColumn="0" w:firstRowLastColumn="0" w:lastRowFirstColumn="0" w:lastRowLastColumn="0"/>
            </w:pPr>
            <w:r>
              <w:t>Dr Vicky Greenaway</w:t>
            </w:r>
          </w:p>
        </w:tc>
      </w:tr>
      <w:tr w:rsidR="00A24D77" w14:paraId="2C1C180D"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auto"/>
            </w:tcBorders>
            <w:shd w:val="clear" w:color="auto" w:fill="auto"/>
          </w:tcPr>
          <w:p w14:paraId="2502E73E" w14:textId="37B35915" w:rsidR="00A24D77" w:rsidRPr="00761A5A" w:rsidRDefault="00A24D77" w:rsidP="00A24D77">
            <w:pPr>
              <w:rPr>
                <w:b w:val="0"/>
              </w:rPr>
            </w:pPr>
            <w:r w:rsidRPr="00761A5A">
              <w:rPr>
                <w:b w:val="0"/>
              </w:rPr>
              <w:t xml:space="preserve">Secretary </w:t>
            </w:r>
          </w:p>
        </w:tc>
        <w:tc>
          <w:tcPr>
            <w:tcW w:w="3573" w:type="dxa"/>
            <w:tcBorders>
              <w:top w:val="single" w:sz="4" w:space="0" w:color="auto"/>
              <w:bottom w:val="single" w:sz="4" w:space="0" w:color="auto"/>
              <w:right w:val="nil"/>
            </w:tcBorders>
          </w:tcPr>
          <w:p w14:paraId="7B6DFA87" w14:textId="1A1F4E46" w:rsidR="00A24D77" w:rsidRDefault="00A24D77" w:rsidP="00A24D77">
            <w:pPr>
              <w:cnfStyle w:val="000000100000" w:firstRow="0" w:lastRow="0" w:firstColumn="0" w:lastColumn="0" w:oddVBand="0" w:evenVBand="0" w:oddHBand="1" w:evenHBand="0" w:firstRowFirstColumn="0" w:firstRowLastColumn="0" w:lastRowFirstColumn="0" w:lastRowLastColumn="0"/>
            </w:pPr>
            <w:r>
              <w:t>Member of AQPO</w:t>
            </w:r>
          </w:p>
        </w:tc>
        <w:tc>
          <w:tcPr>
            <w:tcW w:w="1701" w:type="dxa"/>
            <w:tcBorders>
              <w:top w:val="single" w:sz="4" w:space="0" w:color="auto"/>
              <w:left w:val="nil"/>
              <w:bottom w:val="single" w:sz="4" w:space="0" w:color="auto"/>
              <w:right w:val="nil"/>
            </w:tcBorders>
          </w:tcPr>
          <w:p w14:paraId="45311869" w14:textId="3E0AA34E" w:rsidR="00A24D77" w:rsidRDefault="00A24D77" w:rsidP="00A24D77">
            <w:pPr>
              <w:ind w:left="220" w:hanging="220"/>
              <w:cnfStyle w:val="000000100000" w:firstRow="0" w:lastRow="0" w:firstColumn="0" w:lastColumn="0" w:oddVBand="0" w:evenVBand="0" w:oddHBand="1" w:evenHBand="0" w:firstRowFirstColumn="0" w:firstRowLastColumn="0" w:lastRowFirstColumn="0" w:lastRowLastColumn="0"/>
            </w:pPr>
            <w:r>
              <w:t>Head of AQPO</w:t>
            </w:r>
          </w:p>
        </w:tc>
        <w:tc>
          <w:tcPr>
            <w:tcW w:w="2851" w:type="dxa"/>
            <w:tcBorders>
              <w:top w:val="single" w:sz="4" w:space="0" w:color="auto"/>
              <w:left w:val="nil"/>
              <w:bottom w:val="single" w:sz="4" w:space="0" w:color="auto"/>
            </w:tcBorders>
          </w:tcPr>
          <w:p w14:paraId="0782484B" w14:textId="210673D8" w:rsidR="00A24D77" w:rsidRDefault="00756407" w:rsidP="00A24D77">
            <w:pPr>
              <w:ind w:left="10" w:hanging="10"/>
              <w:cnfStyle w:val="000000100000" w:firstRow="0" w:lastRow="0" w:firstColumn="0" w:lastColumn="0" w:oddVBand="0" w:evenVBand="0" w:oddHBand="1" w:evenHBand="0" w:firstRowFirstColumn="0" w:firstRowLastColumn="0" w:lastRowFirstColumn="0" w:lastRowLastColumn="0"/>
            </w:pPr>
            <w:r>
              <w:t xml:space="preserve"> </w:t>
            </w:r>
            <w:r w:rsidR="00B077E6">
              <w:t>John W Hill</w:t>
            </w:r>
          </w:p>
        </w:tc>
      </w:tr>
      <w:tr w:rsidR="0084770E" w14:paraId="5595DEE9"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26B9AE99" w14:textId="77777777" w:rsidR="0084770E" w:rsidRPr="00781187" w:rsidRDefault="0084770E" w:rsidP="00A24D77"/>
        </w:tc>
        <w:tc>
          <w:tcPr>
            <w:tcW w:w="3573" w:type="dxa"/>
            <w:tcBorders>
              <w:top w:val="nil"/>
              <w:bottom w:val="nil"/>
              <w:right w:val="nil"/>
            </w:tcBorders>
          </w:tcPr>
          <w:p w14:paraId="3C6BFD7F" w14:textId="587C9D2A" w:rsidR="0084770E" w:rsidRDefault="0084770E" w:rsidP="00A24D77">
            <w:pPr>
              <w:cnfStyle w:val="000000000000" w:firstRow="0" w:lastRow="0" w:firstColumn="0" w:lastColumn="0" w:oddVBand="0" w:evenVBand="0" w:oddHBand="0" w:evenHBand="0" w:firstRowFirstColumn="0" w:firstRowLastColumn="0" w:lastRowFirstColumn="0" w:lastRowLastColumn="0"/>
            </w:pPr>
            <w:r>
              <w:t>Students’ Union Vice President Education</w:t>
            </w:r>
          </w:p>
        </w:tc>
        <w:tc>
          <w:tcPr>
            <w:tcW w:w="1701" w:type="dxa"/>
            <w:tcBorders>
              <w:top w:val="nil"/>
              <w:left w:val="nil"/>
              <w:bottom w:val="nil"/>
              <w:right w:val="nil"/>
            </w:tcBorders>
          </w:tcPr>
          <w:p w14:paraId="15E8C9C8" w14:textId="3FA649D2" w:rsidR="0084770E" w:rsidRDefault="0084770E" w:rsidP="00A24D77">
            <w:pPr>
              <w:ind w:left="220" w:hanging="220"/>
              <w:cnfStyle w:val="000000000000" w:firstRow="0" w:lastRow="0" w:firstColumn="0" w:lastColumn="0" w:oddVBand="0" w:evenVBand="0" w:oddHBand="0" w:evenHBand="0" w:firstRowFirstColumn="0" w:firstRowLastColumn="0" w:lastRowFirstColumn="0" w:lastRowLastColumn="0"/>
            </w:pPr>
            <w:r>
              <w:t>Ex Officio</w:t>
            </w:r>
          </w:p>
        </w:tc>
        <w:tc>
          <w:tcPr>
            <w:tcW w:w="2851" w:type="dxa"/>
            <w:tcBorders>
              <w:top w:val="nil"/>
              <w:left w:val="nil"/>
              <w:bottom w:val="nil"/>
            </w:tcBorders>
          </w:tcPr>
          <w:p w14:paraId="1E91AC90" w14:textId="696AD6E7" w:rsidR="0084770E" w:rsidRDefault="0084770E" w:rsidP="00A24D77">
            <w:pPr>
              <w:cnfStyle w:val="000000000000" w:firstRow="0" w:lastRow="0" w:firstColumn="0" w:lastColumn="0" w:oddVBand="0" w:evenVBand="0" w:oddHBand="0" w:evenHBand="0" w:firstRowFirstColumn="0" w:firstRowLastColumn="0" w:lastRowFirstColumn="0" w:lastRowLastColumn="0"/>
            </w:pPr>
            <w:r w:rsidRPr="006F4419">
              <w:t>Madelaine Gray</w:t>
            </w:r>
          </w:p>
        </w:tc>
      </w:tr>
      <w:tr w:rsidR="0084770E" w14:paraId="4966C3D9"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5EEE35B2" w14:textId="77777777" w:rsidR="0084770E" w:rsidRPr="00781187" w:rsidRDefault="0084770E" w:rsidP="00A24D77"/>
        </w:tc>
        <w:tc>
          <w:tcPr>
            <w:tcW w:w="3573" w:type="dxa"/>
            <w:tcBorders>
              <w:top w:val="nil"/>
              <w:bottom w:val="nil"/>
              <w:right w:val="nil"/>
            </w:tcBorders>
          </w:tcPr>
          <w:p w14:paraId="738EC58D" w14:textId="5756951C" w:rsidR="0084770E" w:rsidRPr="00B266F0" w:rsidRDefault="0084770E" w:rsidP="00A24D77">
            <w:pPr>
              <w:cnfStyle w:val="000000100000" w:firstRow="0" w:lastRow="0" w:firstColumn="0" w:lastColumn="0" w:oddVBand="0" w:evenVBand="0" w:oddHBand="1" w:evenHBand="0" w:firstRowFirstColumn="0" w:firstRowLastColumn="0" w:lastRowFirstColumn="0" w:lastRowLastColumn="0"/>
            </w:pPr>
            <w:r w:rsidRPr="00B266F0">
              <w:t>Chair of the Curriculum Development Committee</w:t>
            </w:r>
          </w:p>
        </w:tc>
        <w:tc>
          <w:tcPr>
            <w:tcW w:w="1701" w:type="dxa"/>
            <w:tcBorders>
              <w:top w:val="nil"/>
              <w:left w:val="nil"/>
              <w:bottom w:val="nil"/>
              <w:right w:val="nil"/>
            </w:tcBorders>
          </w:tcPr>
          <w:p w14:paraId="473DB4E6" w14:textId="25D9B189" w:rsidR="0084770E" w:rsidRPr="00B266F0" w:rsidRDefault="0084770E" w:rsidP="00A24D77">
            <w:pPr>
              <w:ind w:left="220" w:hanging="220"/>
              <w:cnfStyle w:val="000000100000" w:firstRow="0" w:lastRow="0" w:firstColumn="0" w:lastColumn="0" w:oddVBand="0" w:evenVBand="0" w:oddHBand="1" w:evenHBand="0" w:firstRowFirstColumn="0" w:firstRowLastColumn="0" w:lastRowFirstColumn="0" w:lastRowLastColumn="0"/>
            </w:pPr>
            <w:r>
              <w:t>Ex Officio</w:t>
            </w:r>
          </w:p>
        </w:tc>
        <w:tc>
          <w:tcPr>
            <w:tcW w:w="2851" w:type="dxa"/>
            <w:tcBorders>
              <w:top w:val="nil"/>
              <w:left w:val="nil"/>
              <w:bottom w:val="nil"/>
            </w:tcBorders>
          </w:tcPr>
          <w:p w14:paraId="2551AD01" w14:textId="64F39A01" w:rsidR="0084770E" w:rsidRPr="00B266F0" w:rsidRDefault="0084770E" w:rsidP="00A24D77">
            <w:pPr>
              <w:cnfStyle w:val="000000100000" w:firstRow="0" w:lastRow="0" w:firstColumn="0" w:lastColumn="0" w:oddVBand="0" w:evenVBand="0" w:oddHBand="1" w:evenHBand="0" w:firstRowFirstColumn="0" w:firstRowLastColumn="0" w:lastRowFirstColumn="0" w:lastRowLastColumn="0"/>
            </w:pPr>
            <w:r>
              <w:t>Dr Vicky Greenaway</w:t>
            </w:r>
          </w:p>
        </w:tc>
      </w:tr>
      <w:tr w:rsidR="0084770E" w14:paraId="0B1BEF1E"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0F6F4580" w14:textId="77777777" w:rsidR="0084770E" w:rsidRPr="00781187" w:rsidRDefault="0084770E" w:rsidP="00A24D77"/>
        </w:tc>
        <w:tc>
          <w:tcPr>
            <w:tcW w:w="3573" w:type="dxa"/>
            <w:tcBorders>
              <w:top w:val="nil"/>
              <w:bottom w:val="nil"/>
              <w:right w:val="nil"/>
            </w:tcBorders>
          </w:tcPr>
          <w:p w14:paraId="3AC9FA8B" w14:textId="602236C8" w:rsidR="0084770E" w:rsidRDefault="0084770E" w:rsidP="00A24D77">
            <w:pPr>
              <w:cnfStyle w:val="000000000000" w:firstRow="0" w:lastRow="0" w:firstColumn="0" w:lastColumn="0" w:oddVBand="0" w:evenVBand="0" w:oddHBand="0" w:evenHBand="0" w:firstRowFirstColumn="0" w:firstRowLastColumn="0" w:lastRowFirstColumn="0" w:lastRowLastColumn="0"/>
            </w:pPr>
            <w:r>
              <w:t>Chair of the Assessment and Academic Regulations Committee</w:t>
            </w:r>
          </w:p>
        </w:tc>
        <w:tc>
          <w:tcPr>
            <w:tcW w:w="1701" w:type="dxa"/>
            <w:tcBorders>
              <w:top w:val="nil"/>
              <w:left w:val="nil"/>
              <w:bottom w:val="nil"/>
              <w:right w:val="nil"/>
            </w:tcBorders>
          </w:tcPr>
          <w:p w14:paraId="719D856D" w14:textId="60A7CF5A" w:rsidR="0084770E" w:rsidRDefault="0084770E" w:rsidP="00A24D77">
            <w:pPr>
              <w:ind w:left="220" w:hanging="220"/>
              <w:cnfStyle w:val="000000000000" w:firstRow="0" w:lastRow="0" w:firstColumn="0" w:lastColumn="0" w:oddVBand="0" w:evenVBand="0" w:oddHBand="0" w:evenHBand="0" w:firstRowFirstColumn="0" w:firstRowLastColumn="0" w:lastRowFirstColumn="0" w:lastRowLastColumn="0"/>
            </w:pPr>
            <w:r>
              <w:t>Ex Officio</w:t>
            </w:r>
          </w:p>
        </w:tc>
        <w:tc>
          <w:tcPr>
            <w:tcW w:w="2851" w:type="dxa"/>
            <w:tcBorders>
              <w:top w:val="nil"/>
              <w:left w:val="nil"/>
              <w:bottom w:val="nil"/>
            </w:tcBorders>
          </w:tcPr>
          <w:p w14:paraId="4314AC1F" w14:textId="178941BC" w:rsidR="0084770E" w:rsidRDefault="0084770E" w:rsidP="00A24D77">
            <w:pPr>
              <w:cnfStyle w:val="000000000000" w:firstRow="0" w:lastRow="0" w:firstColumn="0" w:lastColumn="0" w:oddVBand="0" w:evenVBand="0" w:oddHBand="0" w:evenHBand="0" w:firstRowFirstColumn="0" w:firstRowLastColumn="0" w:lastRowFirstColumn="0" w:lastRowLastColumn="0"/>
            </w:pPr>
            <w:r>
              <w:t>Professor Rob Jago</w:t>
            </w:r>
          </w:p>
        </w:tc>
      </w:tr>
      <w:tr w:rsidR="0084770E" w14:paraId="08E42A3A"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4FD8562A" w14:textId="77777777" w:rsidR="0084770E" w:rsidRPr="00781187" w:rsidRDefault="0084770E" w:rsidP="001A5BD7"/>
        </w:tc>
        <w:tc>
          <w:tcPr>
            <w:tcW w:w="3573" w:type="dxa"/>
            <w:tcBorders>
              <w:top w:val="nil"/>
              <w:bottom w:val="nil"/>
              <w:right w:val="nil"/>
            </w:tcBorders>
          </w:tcPr>
          <w:p w14:paraId="396E718F" w14:textId="59AD804A" w:rsidR="0084770E" w:rsidRDefault="0084770E" w:rsidP="001A5BD7">
            <w:pPr>
              <w:cnfStyle w:val="000000100000" w:firstRow="0" w:lastRow="0" w:firstColumn="0" w:lastColumn="0" w:oddVBand="0" w:evenVBand="0" w:oddHBand="1" w:evenHBand="0" w:firstRowFirstColumn="0" w:firstRowLastColumn="0" w:lastRowFirstColumn="0" w:lastRowLastColumn="0"/>
            </w:pPr>
            <w:r>
              <w:t xml:space="preserve">School EDI </w:t>
            </w:r>
            <w:proofErr w:type="gramStart"/>
            <w:r>
              <w:t>Lead</w:t>
            </w:r>
            <w:proofErr w:type="gramEnd"/>
          </w:p>
        </w:tc>
        <w:tc>
          <w:tcPr>
            <w:tcW w:w="1701" w:type="dxa"/>
            <w:tcBorders>
              <w:top w:val="nil"/>
              <w:left w:val="nil"/>
              <w:bottom w:val="nil"/>
              <w:right w:val="nil"/>
            </w:tcBorders>
          </w:tcPr>
          <w:p w14:paraId="5D074ECB" w14:textId="02A9EA12" w:rsidR="0084770E"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t>Ex Officio</w:t>
            </w:r>
          </w:p>
        </w:tc>
        <w:tc>
          <w:tcPr>
            <w:tcW w:w="2851" w:type="dxa"/>
            <w:tcBorders>
              <w:top w:val="nil"/>
              <w:left w:val="nil"/>
              <w:bottom w:val="nil"/>
            </w:tcBorders>
          </w:tcPr>
          <w:p w14:paraId="7C66A566" w14:textId="5816B193" w:rsidR="0084770E" w:rsidRDefault="0084770E" w:rsidP="001A5BD7">
            <w:pPr>
              <w:cnfStyle w:val="000000100000" w:firstRow="0" w:lastRow="0" w:firstColumn="0" w:lastColumn="0" w:oddVBand="0" w:evenVBand="0" w:oddHBand="1" w:evenHBand="0" w:firstRowFirstColumn="0" w:firstRowLastColumn="0" w:lastRowFirstColumn="0" w:lastRowLastColumn="0"/>
            </w:pPr>
            <w:r>
              <w:t>Tbc</w:t>
            </w:r>
          </w:p>
        </w:tc>
      </w:tr>
      <w:tr w:rsidR="0084770E" w14:paraId="45A5D591"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055488A7" w14:textId="77777777" w:rsidR="0084770E" w:rsidRPr="00781187" w:rsidRDefault="0084770E" w:rsidP="001A5BD7"/>
        </w:tc>
        <w:tc>
          <w:tcPr>
            <w:tcW w:w="3573" w:type="dxa"/>
            <w:tcBorders>
              <w:top w:val="nil"/>
              <w:bottom w:val="nil"/>
              <w:right w:val="nil"/>
            </w:tcBorders>
          </w:tcPr>
          <w:p w14:paraId="170B1316" w14:textId="1F5D9E69"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rsidRPr="00B266F0">
              <w:t>Executive Director of Student Journey</w:t>
            </w:r>
          </w:p>
        </w:tc>
        <w:tc>
          <w:tcPr>
            <w:tcW w:w="1701" w:type="dxa"/>
            <w:tcBorders>
              <w:top w:val="nil"/>
              <w:left w:val="nil"/>
              <w:bottom w:val="nil"/>
              <w:right w:val="nil"/>
            </w:tcBorders>
          </w:tcPr>
          <w:p w14:paraId="1EE7F11C" w14:textId="504A61B4" w:rsidR="0084770E" w:rsidRPr="00B266F0"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rsidRPr="00B266F0">
              <w:t>Ex Officio</w:t>
            </w:r>
          </w:p>
        </w:tc>
        <w:tc>
          <w:tcPr>
            <w:tcW w:w="2851" w:type="dxa"/>
            <w:tcBorders>
              <w:top w:val="nil"/>
              <w:left w:val="nil"/>
              <w:bottom w:val="nil"/>
            </w:tcBorders>
          </w:tcPr>
          <w:p w14:paraId="431988E7" w14:textId="37A5994B"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rsidRPr="00B266F0">
              <w:t>Dr Nick Barratt</w:t>
            </w:r>
          </w:p>
        </w:tc>
      </w:tr>
      <w:tr w:rsidR="0084770E" w14:paraId="230AF392"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30A62FBC" w14:textId="77777777" w:rsidR="0084770E" w:rsidRPr="00781187" w:rsidRDefault="0084770E" w:rsidP="001A5BD7"/>
        </w:tc>
        <w:tc>
          <w:tcPr>
            <w:tcW w:w="3573" w:type="dxa"/>
            <w:tcBorders>
              <w:top w:val="nil"/>
              <w:bottom w:val="nil"/>
              <w:right w:val="nil"/>
            </w:tcBorders>
          </w:tcPr>
          <w:p w14:paraId="7281FC70" w14:textId="1DB0B6A3"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Vice</w:t>
            </w:r>
            <w:r w:rsidRPr="00B266F0">
              <w:t xml:space="preserve"> Dean</w:t>
            </w:r>
            <w:r>
              <w:t xml:space="preserve"> Education &amp; Student Experience</w:t>
            </w:r>
            <w:r w:rsidRPr="00B266F0">
              <w:t xml:space="preserve"> (School of Life Sciences and the Environment)</w:t>
            </w:r>
          </w:p>
        </w:tc>
        <w:tc>
          <w:tcPr>
            <w:tcW w:w="1701" w:type="dxa"/>
            <w:tcBorders>
              <w:top w:val="nil"/>
              <w:left w:val="nil"/>
              <w:bottom w:val="nil"/>
              <w:right w:val="nil"/>
            </w:tcBorders>
          </w:tcPr>
          <w:p w14:paraId="7FBE36EA" w14:textId="0ACB9A9D" w:rsidR="0084770E" w:rsidRPr="00B266F0"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rsidRPr="00B266F0">
              <w:t>Ex Officio</w:t>
            </w:r>
          </w:p>
        </w:tc>
        <w:tc>
          <w:tcPr>
            <w:tcW w:w="2851" w:type="dxa"/>
            <w:tcBorders>
              <w:top w:val="nil"/>
              <w:left w:val="nil"/>
              <w:bottom w:val="nil"/>
            </w:tcBorders>
          </w:tcPr>
          <w:p w14:paraId="3F4DB44E" w14:textId="0992E255"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Professor Ian Candy</w:t>
            </w:r>
          </w:p>
        </w:tc>
      </w:tr>
      <w:tr w:rsidR="0084770E" w14:paraId="5D4E5959" w14:textId="77777777" w:rsidTr="00202801">
        <w:tc>
          <w:tcPr>
            <w:cnfStyle w:val="001000000000" w:firstRow="0" w:lastRow="0" w:firstColumn="1" w:lastColumn="0" w:oddVBand="0" w:evenVBand="0" w:oddHBand="0" w:evenHBand="0" w:firstRowFirstColumn="0" w:firstRowLastColumn="0" w:lastRowFirstColumn="0" w:lastRowLastColumn="0"/>
            <w:tcW w:w="1525" w:type="dxa"/>
            <w:tcBorders>
              <w:top w:val="nil"/>
              <w:bottom w:val="nil"/>
            </w:tcBorders>
            <w:shd w:val="clear" w:color="auto" w:fill="auto"/>
          </w:tcPr>
          <w:p w14:paraId="611B7B00" w14:textId="77777777" w:rsidR="0084770E" w:rsidRPr="00781187" w:rsidRDefault="0084770E" w:rsidP="001A5BD7"/>
        </w:tc>
        <w:tc>
          <w:tcPr>
            <w:tcW w:w="3573" w:type="dxa"/>
            <w:tcBorders>
              <w:top w:val="nil"/>
              <w:left w:val="single" w:sz="4" w:space="0" w:color="auto"/>
              <w:bottom w:val="nil"/>
              <w:right w:val="nil"/>
            </w:tcBorders>
          </w:tcPr>
          <w:p w14:paraId="764A9247" w14:textId="4E8FC66F" w:rsidR="0084770E" w:rsidRDefault="0084770E" w:rsidP="001A5BD7">
            <w:pPr>
              <w:cnfStyle w:val="000000000000" w:firstRow="0" w:lastRow="0" w:firstColumn="0" w:lastColumn="0" w:oddVBand="0" w:evenVBand="0" w:oddHBand="0" w:evenHBand="0" w:firstRowFirstColumn="0" w:firstRowLastColumn="0" w:lastRowFirstColumn="0" w:lastRowLastColumn="0"/>
            </w:pPr>
            <w:r>
              <w:t>Vice</w:t>
            </w:r>
            <w:r w:rsidRPr="00B266F0">
              <w:t xml:space="preserve"> Dean</w:t>
            </w:r>
            <w:r>
              <w:t xml:space="preserve"> Education &amp; Student Experience</w:t>
            </w:r>
            <w:r w:rsidRPr="00B266F0">
              <w:t xml:space="preserve"> (School of Law and Social Sciences)</w:t>
            </w:r>
          </w:p>
        </w:tc>
        <w:tc>
          <w:tcPr>
            <w:tcW w:w="1701" w:type="dxa"/>
            <w:tcBorders>
              <w:top w:val="nil"/>
              <w:left w:val="nil"/>
              <w:bottom w:val="nil"/>
              <w:right w:val="nil"/>
            </w:tcBorders>
          </w:tcPr>
          <w:p w14:paraId="25DAA17C" w14:textId="65DC80ED" w:rsidR="0084770E"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rsidRPr="00B266F0">
              <w:t>Ex Officio</w:t>
            </w:r>
          </w:p>
        </w:tc>
        <w:tc>
          <w:tcPr>
            <w:tcW w:w="2851" w:type="dxa"/>
            <w:tcBorders>
              <w:top w:val="nil"/>
              <w:left w:val="nil"/>
              <w:bottom w:val="nil"/>
            </w:tcBorders>
          </w:tcPr>
          <w:p w14:paraId="4F71D6E8" w14:textId="6E988D33" w:rsidR="0084770E" w:rsidRDefault="0084770E" w:rsidP="001A5BD7">
            <w:pPr>
              <w:cnfStyle w:val="000000000000" w:firstRow="0" w:lastRow="0" w:firstColumn="0" w:lastColumn="0" w:oddVBand="0" w:evenVBand="0" w:oddHBand="0" w:evenHBand="0" w:firstRowFirstColumn="0" w:firstRowLastColumn="0" w:lastRowFirstColumn="0" w:lastRowLastColumn="0"/>
            </w:pPr>
            <w:r>
              <w:t>Professor Rob Jago</w:t>
            </w:r>
          </w:p>
        </w:tc>
      </w:tr>
      <w:tr w:rsidR="0084770E" w14:paraId="7B88B377"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5B2F80DA" w14:textId="77777777" w:rsidR="0084770E" w:rsidRPr="00781187" w:rsidRDefault="0084770E" w:rsidP="001A5BD7"/>
        </w:tc>
        <w:tc>
          <w:tcPr>
            <w:tcW w:w="3573" w:type="dxa"/>
            <w:tcBorders>
              <w:top w:val="nil"/>
              <w:left w:val="single" w:sz="4" w:space="0" w:color="auto"/>
              <w:bottom w:val="nil"/>
              <w:right w:val="nil"/>
            </w:tcBorders>
          </w:tcPr>
          <w:p w14:paraId="486F0782" w14:textId="2B9258AA"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Vice</w:t>
            </w:r>
            <w:r w:rsidRPr="00B266F0">
              <w:t xml:space="preserve"> Dean</w:t>
            </w:r>
            <w:r>
              <w:t xml:space="preserve"> Education &amp; Student Experience</w:t>
            </w:r>
            <w:r w:rsidRPr="00B266F0">
              <w:t xml:space="preserve"> (School of Performing and Digital Arts)</w:t>
            </w:r>
          </w:p>
        </w:tc>
        <w:tc>
          <w:tcPr>
            <w:tcW w:w="1701" w:type="dxa"/>
            <w:tcBorders>
              <w:top w:val="nil"/>
              <w:left w:val="nil"/>
              <w:bottom w:val="nil"/>
              <w:right w:val="nil"/>
            </w:tcBorders>
          </w:tcPr>
          <w:p w14:paraId="667FD7AC" w14:textId="0E725E97" w:rsidR="0084770E" w:rsidRPr="00B266F0"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rsidRPr="00B266F0">
              <w:t>Ex Officio</w:t>
            </w:r>
          </w:p>
        </w:tc>
        <w:tc>
          <w:tcPr>
            <w:tcW w:w="2851" w:type="dxa"/>
            <w:tcBorders>
              <w:top w:val="nil"/>
              <w:left w:val="nil"/>
              <w:bottom w:val="nil"/>
            </w:tcBorders>
          </w:tcPr>
          <w:p w14:paraId="5181CC55" w14:textId="1DB2EAE6"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 xml:space="preserve">Dr Will </w:t>
            </w:r>
            <w:proofErr w:type="spellStart"/>
            <w:r>
              <w:t>Shüler</w:t>
            </w:r>
            <w:proofErr w:type="spellEnd"/>
          </w:p>
        </w:tc>
      </w:tr>
      <w:tr w:rsidR="0084770E" w14:paraId="164F473F"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16936F2D" w14:textId="77777777" w:rsidR="0084770E" w:rsidRPr="00781187" w:rsidRDefault="0084770E" w:rsidP="001A5BD7"/>
        </w:tc>
        <w:tc>
          <w:tcPr>
            <w:tcW w:w="3573" w:type="dxa"/>
            <w:tcBorders>
              <w:top w:val="nil"/>
              <w:left w:val="single" w:sz="4" w:space="0" w:color="auto"/>
              <w:bottom w:val="nil"/>
              <w:right w:val="nil"/>
            </w:tcBorders>
          </w:tcPr>
          <w:p w14:paraId="311CBD42" w14:textId="7D26F709"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Vice</w:t>
            </w:r>
            <w:r w:rsidRPr="00B266F0">
              <w:t xml:space="preserve"> Dean</w:t>
            </w:r>
            <w:r>
              <w:t xml:space="preserve"> Education &amp; Student Experience</w:t>
            </w:r>
            <w:r w:rsidRPr="00B266F0">
              <w:t xml:space="preserve"> (Humanities)</w:t>
            </w:r>
          </w:p>
        </w:tc>
        <w:tc>
          <w:tcPr>
            <w:tcW w:w="1701" w:type="dxa"/>
            <w:tcBorders>
              <w:top w:val="nil"/>
              <w:left w:val="nil"/>
              <w:bottom w:val="nil"/>
              <w:right w:val="nil"/>
            </w:tcBorders>
          </w:tcPr>
          <w:p w14:paraId="36955163" w14:textId="615BB941" w:rsidR="0084770E" w:rsidRPr="00B266F0"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rsidRPr="00B266F0">
              <w:t>Ex Officio</w:t>
            </w:r>
          </w:p>
        </w:tc>
        <w:tc>
          <w:tcPr>
            <w:tcW w:w="2851" w:type="dxa"/>
            <w:tcBorders>
              <w:top w:val="nil"/>
              <w:left w:val="nil"/>
              <w:bottom w:val="nil"/>
            </w:tcBorders>
          </w:tcPr>
          <w:p w14:paraId="19601696" w14:textId="7EF9D16B"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 xml:space="preserve">Dr Alex Windscheffel </w:t>
            </w:r>
          </w:p>
        </w:tc>
      </w:tr>
      <w:tr w:rsidR="0084770E" w14:paraId="3567866F"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5A96FA02" w14:textId="77777777" w:rsidR="0084770E" w:rsidRPr="00781187" w:rsidRDefault="0084770E" w:rsidP="001A5BD7"/>
        </w:tc>
        <w:tc>
          <w:tcPr>
            <w:tcW w:w="3573" w:type="dxa"/>
            <w:tcBorders>
              <w:top w:val="nil"/>
              <w:left w:val="single" w:sz="4" w:space="0" w:color="auto"/>
              <w:bottom w:val="nil"/>
              <w:right w:val="nil"/>
            </w:tcBorders>
          </w:tcPr>
          <w:p w14:paraId="6D02017B" w14:textId="52EB7984"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Vice</w:t>
            </w:r>
            <w:r w:rsidRPr="00B266F0">
              <w:t xml:space="preserve"> Dean</w:t>
            </w:r>
            <w:r>
              <w:t xml:space="preserve"> Education &amp; Student Experience</w:t>
            </w:r>
            <w:r w:rsidRPr="00B266F0">
              <w:t xml:space="preserve"> (Engineering, Mathematical and Physical Sciences)</w:t>
            </w:r>
          </w:p>
        </w:tc>
        <w:tc>
          <w:tcPr>
            <w:tcW w:w="1701" w:type="dxa"/>
            <w:tcBorders>
              <w:top w:val="nil"/>
              <w:left w:val="nil"/>
              <w:bottom w:val="nil"/>
              <w:right w:val="nil"/>
            </w:tcBorders>
          </w:tcPr>
          <w:p w14:paraId="00FFB4F6" w14:textId="087BD76A" w:rsidR="0084770E" w:rsidRPr="00B266F0"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rsidRPr="00B266F0">
              <w:t>Ex Officio</w:t>
            </w:r>
          </w:p>
        </w:tc>
        <w:tc>
          <w:tcPr>
            <w:tcW w:w="2851" w:type="dxa"/>
            <w:tcBorders>
              <w:top w:val="nil"/>
              <w:left w:val="nil"/>
              <w:bottom w:val="nil"/>
            </w:tcBorders>
          </w:tcPr>
          <w:p w14:paraId="6CCDFCC8" w14:textId="30B27BDA"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Professor Nuno Barreiro</w:t>
            </w:r>
          </w:p>
        </w:tc>
      </w:tr>
      <w:tr w:rsidR="0084770E" w14:paraId="14B53BB9"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35D3ACB8" w14:textId="77777777" w:rsidR="0084770E" w:rsidRPr="00781187" w:rsidRDefault="0084770E" w:rsidP="001A5BD7"/>
        </w:tc>
        <w:tc>
          <w:tcPr>
            <w:tcW w:w="3573" w:type="dxa"/>
            <w:tcBorders>
              <w:top w:val="nil"/>
              <w:left w:val="single" w:sz="4" w:space="0" w:color="auto"/>
              <w:bottom w:val="nil"/>
              <w:right w:val="nil"/>
            </w:tcBorders>
          </w:tcPr>
          <w:p w14:paraId="1495D5BB" w14:textId="010DBD0B"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Vice</w:t>
            </w:r>
            <w:r w:rsidRPr="00B266F0">
              <w:t xml:space="preserve"> Dean</w:t>
            </w:r>
            <w:r>
              <w:t xml:space="preserve"> Education &amp; Student Experience</w:t>
            </w:r>
            <w:r w:rsidRPr="00B266F0">
              <w:t xml:space="preserve"> (Business and Management)</w:t>
            </w:r>
          </w:p>
        </w:tc>
        <w:tc>
          <w:tcPr>
            <w:tcW w:w="1701" w:type="dxa"/>
            <w:tcBorders>
              <w:top w:val="nil"/>
              <w:left w:val="nil"/>
              <w:bottom w:val="nil"/>
              <w:right w:val="nil"/>
            </w:tcBorders>
          </w:tcPr>
          <w:p w14:paraId="533513F7" w14:textId="0A2021AE" w:rsidR="0084770E" w:rsidRPr="00B266F0"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rsidRPr="00B266F0">
              <w:t>Ex Officio</w:t>
            </w:r>
          </w:p>
        </w:tc>
        <w:tc>
          <w:tcPr>
            <w:tcW w:w="2851" w:type="dxa"/>
            <w:tcBorders>
              <w:top w:val="nil"/>
              <w:left w:val="nil"/>
              <w:bottom w:val="nil"/>
            </w:tcBorders>
          </w:tcPr>
          <w:p w14:paraId="364BCAF0" w14:textId="03DD7CB0"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Dr Lucy Gill-Simmen</w:t>
            </w:r>
          </w:p>
        </w:tc>
      </w:tr>
      <w:tr w:rsidR="0084770E" w14:paraId="669A72FC"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6188B56F" w14:textId="77777777" w:rsidR="0084770E" w:rsidRPr="00781187" w:rsidRDefault="0084770E" w:rsidP="001A5BD7"/>
        </w:tc>
        <w:tc>
          <w:tcPr>
            <w:tcW w:w="3573" w:type="dxa"/>
            <w:tcBorders>
              <w:top w:val="nil"/>
              <w:left w:val="single" w:sz="4" w:space="0" w:color="auto"/>
              <w:bottom w:val="nil"/>
              <w:right w:val="nil"/>
            </w:tcBorders>
          </w:tcPr>
          <w:p w14:paraId="54A55CC8" w14:textId="55D6AFA6"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Director of Strategic Planning or nominee</w:t>
            </w:r>
          </w:p>
        </w:tc>
        <w:tc>
          <w:tcPr>
            <w:tcW w:w="1701" w:type="dxa"/>
            <w:tcBorders>
              <w:top w:val="nil"/>
              <w:left w:val="nil"/>
              <w:bottom w:val="nil"/>
              <w:right w:val="nil"/>
            </w:tcBorders>
          </w:tcPr>
          <w:p w14:paraId="66E54F5A" w14:textId="0A2A9354" w:rsidR="0084770E" w:rsidRPr="00B266F0"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t>In attendance</w:t>
            </w:r>
          </w:p>
        </w:tc>
        <w:tc>
          <w:tcPr>
            <w:tcW w:w="2851" w:type="dxa"/>
            <w:tcBorders>
              <w:top w:val="nil"/>
              <w:left w:val="nil"/>
              <w:bottom w:val="nil"/>
            </w:tcBorders>
          </w:tcPr>
          <w:p w14:paraId="062222B7" w14:textId="4BB3EBDE" w:rsidR="0084770E" w:rsidRPr="00B266F0" w:rsidRDefault="0084770E" w:rsidP="001A5BD7">
            <w:pPr>
              <w:cnfStyle w:val="000000100000" w:firstRow="0" w:lastRow="0" w:firstColumn="0" w:lastColumn="0" w:oddVBand="0" w:evenVBand="0" w:oddHBand="1" w:evenHBand="0" w:firstRowFirstColumn="0" w:firstRowLastColumn="0" w:lastRowFirstColumn="0" w:lastRowLastColumn="0"/>
            </w:pPr>
            <w:r>
              <w:t>Alison Wallis</w:t>
            </w:r>
          </w:p>
        </w:tc>
      </w:tr>
      <w:tr w:rsidR="0084770E" w14:paraId="7A2328FE"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0E9E09A0" w14:textId="77777777" w:rsidR="0084770E" w:rsidRPr="00781187" w:rsidRDefault="0084770E" w:rsidP="001A5BD7"/>
        </w:tc>
        <w:tc>
          <w:tcPr>
            <w:tcW w:w="3573" w:type="dxa"/>
            <w:tcBorders>
              <w:top w:val="nil"/>
              <w:left w:val="single" w:sz="4" w:space="0" w:color="auto"/>
              <w:bottom w:val="nil"/>
              <w:right w:val="nil"/>
            </w:tcBorders>
          </w:tcPr>
          <w:p w14:paraId="5FE3ECD4" w14:textId="448C7AB2"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Director of Student Success</w:t>
            </w:r>
          </w:p>
        </w:tc>
        <w:tc>
          <w:tcPr>
            <w:tcW w:w="1701" w:type="dxa"/>
            <w:tcBorders>
              <w:top w:val="nil"/>
              <w:left w:val="nil"/>
              <w:bottom w:val="nil"/>
              <w:right w:val="nil"/>
            </w:tcBorders>
          </w:tcPr>
          <w:p w14:paraId="46017993" w14:textId="0E1EA0E9" w:rsidR="0084770E" w:rsidRPr="00B266F0"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t>In attendance</w:t>
            </w:r>
          </w:p>
        </w:tc>
        <w:tc>
          <w:tcPr>
            <w:tcW w:w="2851" w:type="dxa"/>
            <w:tcBorders>
              <w:top w:val="nil"/>
              <w:left w:val="nil"/>
              <w:bottom w:val="nil"/>
            </w:tcBorders>
          </w:tcPr>
          <w:p w14:paraId="41A1E035" w14:textId="1107EC3C"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 xml:space="preserve">Ian Jenkins </w:t>
            </w:r>
          </w:p>
        </w:tc>
      </w:tr>
      <w:tr w:rsidR="0084770E" w14:paraId="3D93F66B"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774E2D6D" w14:textId="77777777" w:rsidR="0084770E" w:rsidRPr="00781187" w:rsidRDefault="0084770E" w:rsidP="001A5BD7"/>
        </w:tc>
        <w:tc>
          <w:tcPr>
            <w:tcW w:w="3573" w:type="dxa"/>
            <w:tcBorders>
              <w:top w:val="nil"/>
              <w:left w:val="single" w:sz="4" w:space="0" w:color="auto"/>
              <w:bottom w:val="nil"/>
              <w:right w:val="nil"/>
            </w:tcBorders>
          </w:tcPr>
          <w:p w14:paraId="0D31A4D7" w14:textId="276BC9C9" w:rsidR="0084770E" w:rsidRDefault="0084770E" w:rsidP="001A5BD7">
            <w:pPr>
              <w:cnfStyle w:val="000000100000" w:firstRow="0" w:lastRow="0" w:firstColumn="0" w:lastColumn="0" w:oddVBand="0" w:evenVBand="0" w:oddHBand="1" w:evenHBand="0" w:firstRowFirstColumn="0" w:firstRowLastColumn="0" w:lastRowFirstColumn="0" w:lastRowLastColumn="0"/>
            </w:pPr>
            <w:r w:rsidRPr="00B266F0">
              <w:t>Director of Student Administration or nominee</w:t>
            </w:r>
          </w:p>
        </w:tc>
        <w:tc>
          <w:tcPr>
            <w:tcW w:w="1701" w:type="dxa"/>
            <w:tcBorders>
              <w:top w:val="nil"/>
              <w:left w:val="nil"/>
              <w:bottom w:val="nil"/>
              <w:right w:val="nil"/>
            </w:tcBorders>
          </w:tcPr>
          <w:p w14:paraId="448D717F" w14:textId="53449048" w:rsidR="0084770E"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t>In attendance</w:t>
            </w:r>
          </w:p>
        </w:tc>
        <w:tc>
          <w:tcPr>
            <w:tcW w:w="2851" w:type="dxa"/>
            <w:tcBorders>
              <w:top w:val="nil"/>
              <w:left w:val="nil"/>
              <w:bottom w:val="nil"/>
            </w:tcBorders>
          </w:tcPr>
          <w:p w14:paraId="0147E11E" w14:textId="6573800C" w:rsidR="0084770E" w:rsidRDefault="0084770E" w:rsidP="001A5BD7">
            <w:pPr>
              <w:cnfStyle w:val="000000100000" w:firstRow="0" w:lastRow="0" w:firstColumn="0" w:lastColumn="0" w:oddVBand="0" w:evenVBand="0" w:oddHBand="1" w:evenHBand="0" w:firstRowFirstColumn="0" w:firstRowLastColumn="0" w:lastRowFirstColumn="0" w:lastRowLastColumn="0"/>
            </w:pPr>
            <w:r w:rsidRPr="00B266F0">
              <w:t xml:space="preserve">Caroline Beck </w:t>
            </w:r>
          </w:p>
        </w:tc>
      </w:tr>
      <w:tr w:rsidR="0084770E" w14:paraId="4DC1080B"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1C48CC4A" w14:textId="77777777" w:rsidR="0084770E" w:rsidRPr="00781187" w:rsidRDefault="0084770E" w:rsidP="001A5BD7"/>
        </w:tc>
        <w:tc>
          <w:tcPr>
            <w:tcW w:w="3573" w:type="dxa"/>
            <w:tcBorders>
              <w:top w:val="nil"/>
              <w:left w:val="single" w:sz="4" w:space="0" w:color="auto"/>
              <w:bottom w:val="nil"/>
              <w:right w:val="nil"/>
            </w:tcBorders>
          </w:tcPr>
          <w:p w14:paraId="2FD202AF" w14:textId="0B062F83"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Head of AQPO</w:t>
            </w:r>
          </w:p>
        </w:tc>
        <w:tc>
          <w:tcPr>
            <w:tcW w:w="1701" w:type="dxa"/>
            <w:tcBorders>
              <w:top w:val="nil"/>
              <w:left w:val="nil"/>
              <w:bottom w:val="nil"/>
              <w:right w:val="nil"/>
            </w:tcBorders>
          </w:tcPr>
          <w:p w14:paraId="26BDB836" w14:textId="0AD4F30B" w:rsidR="0084770E" w:rsidRPr="00B266F0"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t>In attendance</w:t>
            </w:r>
          </w:p>
        </w:tc>
        <w:tc>
          <w:tcPr>
            <w:tcW w:w="2851" w:type="dxa"/>
            <w:tcBorders>
              <w:top w:val="nil"/>
              <w:left w:val="nil"/>
              <w:bottom w:val="nil"/>
            </w:tcBorders>
          </w:tcPr>
          <w:p w14:paraId="5750B1C7" w14:textId="15D49741" w:rsidR="0084770E" w:rsidRPr="00B266F0" w:rsidRDefault="0084770E" w:rsidP="001A5BD7">
            <w:pPr>
              <w:cnfStyle w:val="000000000000" w:firstRow="0" w:lastRow="0" w:firstColumn="0" w:lastColumn="0" w:oddVBand="0" w:evenVBand="0" w:oddHBand="0" w:evenHBand="0" w:firstRowFirstColumn="0" w:firstRowLastColumn="0" w:lastRowFirstColumn="0" w:lastRowLastColumn="0"/>
            </w:pPr>
            <w:r>
              <w:t>Noreen Naughton</w:t>
            </w:r>
          </w:p>
        </w:tc>
      </w:tr>
      <w:tr w:rsidR="0084770E" w14:paraId="0D1FE1BD"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37FA3F7D" w14:textId="77777777" w:rsidR="0084770E" w:rsidRPr="00781187" w:rsidRDefault="0084770E" w:rsidP="001A5BD7"/>
        </w:tc>
        <w:tc>
          <w:tcPr>
            <w:tcW w:w="3573" w:type="dxa"/>
            <w:tcBorders>
              <w:top w:val="nil"/>
              <w:left w:val="single" w:sz="4" w:space="0" w:color="auto"/>
              <w:bottom w:val="nil"/>
              <w:right w:val="nil"/>
            </w:tcBorders>
          </w:tcPr>
          <w:p w14:paraId="16625F73" w14:textId="341C5361" w:rsidR="0084770E" w:rsidRDefault="0084770E" w:rsidP="001A5BD7">
            <w:pPr>
              <w:cnfStyle w:val="000000100000" w:firstRow="0" w:lastRow="0" w:firstColumn="0" w:lastColumn="0" w:oddVBand="0" w:evenVBand="0" w:oddHBand="1" w:evenHBand="0" w:firstRowFirstColumn="0" w:firstRowLastColumn="0" w:lastRowFirstColumn="0" w:lastRowLastColumn="0"/>
            </w:pPr>
            <w:r>
              <w:t>Head of Access and Success</w:t>
            </w:r>
          </w:p>
        </w:tc>
        <w:tc>
          <w:tcPr>
            <w:tcW w:w="1701" w:type="dxa"/>
            <w:tcBorders>
              <w:top w:val="nil"/>
              <w:left w:val="nil"/>
              <w:bottom w:val="nil"/>
              <w:right w:val="nil"/>
            </w:tcBorders>
          </w:tcPr>
          <w:p w14:paraId="56F48BBA" w14:textId="64A40FA4" w:rsidR="0084770E"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t>In attendance</w:t>
            </w:r>
          </w:p>
        </w:tc>
        <w:tc>
          <w:tcPr>
            <w:tcW w:w="2851" w:type="dxa"/>
            <w:tcBorders>
              <w:top w:val="nil"/>
              <w:left w:val="nil"/>
              <w:bottom w:val="nil"/>
            </w:tcBorders>
          </w:tcPr>
          <w:p w14:paraId="7EA14D50" w14:textId="5F77C47C" w:rsidR="0084770E" w:rsidRDefault="0084770E" w:rsidP="001A5BD7">
            <w:pPr>
              <w:cnfStyle w:val="000000100000" w:firstRow="0" w:lastRow="0" w:firstColumn="0" w:lastColumn="0" w:oddVBand="0" w:evenVBand="0" w:oddHBand="1" w:evenHBand="0" w:firstRowFirstColumn="0" w:firstRowLastColumn="0" w:lastRowFirstColumn="0" w:lastRowLastColumn="0"/>
            </w:pPr>
            <w:r>
              <w:t>Katie Shaw</w:t>
            </w:r>
          </w:p>
        </w:tc>
      </w:tr>
      <w:tr w:rsidR="0084770E" w14:paraId="03826270" w14:textId="77777777" w:rsidTr="0DD62DEF">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57954C5B" w14:textId="77777777" w:rsidR="0084770E" w:rsidRPr="00781187" w:rsidRDefault="0084770E" w:rsidP="001A5BD7"/>
        </w:tc>
        <w:tc>
          <w:tcPr>
            <w:tcW w:w="3573" w:type="dxa"/>
            <w:tcBorders>
              <w:top w:val="nil"/>
              <w:left w:val="single" w:sz="4" w:space="0" w:color="auto"/>
              <w:bottom w:val="nil"/>
              <w:right w:val="nil"/>
            </w:tcBorders>
          </w:tcPr>
          <w:p w14:paraId="159F1CB9" w14:textId="3D292A72" w:rsidR="0084770E" w:rsidRDefault="0084770E" w:rsidP="001A5BD7">
            <w:pPr>
              <w:cnfStyle w:val="000000000000" w:firstRow="0" w:lastRow="0" w:firstColumn="0" w:lastColumn="0" w:oddVBand="0" w:evenVBand="0" w:oddHBand="0" w:evenHBand="0" w:firstRowFirstColumn="0" w:firstRowLastColumn="0" w:lastRowFirstColumn="0" w:lastRowLastColumn="0"/>
            </w:pPr>
            <w:r>
              <w:t>Head of Library, Learning Support and Culture</w:t>
            </w:r>
          </w:p>
        </w:tc>
        <w:tc>
          <w:tcPr>
            <w:tcW w:w="1701" w:type="dxa"/>
            <w:tcBorders>
              <w:top w:val="nil"/>
              <w:left w:val="nil"/>
              <w:bottom w:val="nil"/>
              <w:right w:val="nil"/>
            </w:tcBorders>
          </w:tcPr>
          <w:p w14:paraId="141D9AA2" w14:textId="27458AF5" w:rsidR="0084770E"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t>In attendance</w:t>
            </w:r>
          </w:p>
        </w:tc>
        <w:tc>
          <w:tcPr>
            <w:tcW w:w="2851" w:type="dxa"/>
            <w:tcBorders>
              <w:top w:val="nil"/>
              <w:left w:val="nil"/>
              <w:bottom w:val="nil"/>
            </w:tcBorders>
          </w:tcPr>
          <w:p w14:paraId="4EC1FFE2" w14:textId="77B3F50A" w:rsidR="0084770E" w:rsidRDefault="0084770E" w:rsidP="001A5BD7">
            <w:pPr>
              <w:cnfStyle w:val="000000000000" w:firstRow="0" w:lastRow="0" w:firstColumn="0" w:lastColumn="0" w:oddVBand="0" w:evenVBand="0" w:oddHBand="0" w:evenHBand="0" w:firstRowFirstColumn="0" w:firstRowLastColumn="0" w:lastRowFirstColumn="0" w:lastRowLastColumn="0"/>
            </w:pPr>
            <w:r>
              <w:t>Christopher Cipkin</w:t>
            </w:r>
          </w:p>
        </w:tc>
      </w:tr>
      <w:tr w:rsidR="0084770E" w14:paraId="5BF914E2"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445EC08E" w14:textId="77777777" w:rsidR="0084770E" w:rsidRPr="00781187" w:rsidRDefault="0084770E" w:rsidP="001A5BD7"/>
        </w:tc>
        <w:tc>
          <w:tcPr>
            <w:tcW w:w="3573" w:type="dxa"/>
            <w:tcBorders>
              <w:top w:val="nil"/>
              <w:left w:val="single" w:sz="4" w:space="0" w:color="auto"/>
              <w:bottom w:val="nil"/>
              <w:right w:val="nil"/>
            </w:tcBorders>
          </w:tcPr>
          <w:p w14:paraId="020DEE64" w14:textId="35A04FB8" w:rsidR="0084770E" w:rsidRDefault="0084770E" w:rsidP="001A5BD7">
            <w:pPr>
              <w:cnfStyle w:val="000000100000" w:firstRow="0" w:lastRow="0" w:firstColumn="0" w:lastColumn="0" w:oddVBand="0" w:evenVBand="0" w:oddHBand="1" w:evenHBand="0" w:firstRowFirstColumn="0" w:firstRowLastColumn="0" w:lastRowFirstColumn="0" w:lastRowLastColumn="0"/>
            </w:pPr>
            <w:r>
              <w:t>Head of Careers</w:t>
            </w:r>
          </w:p>
        </w:tc>
        <w:tc>
          <w:tcPr>
            <w:tcW w:w="1701" w:type="dxa"/>
            <w:tcBorders>
              <w:top w:val="nil"/>
              <w:left w:val="nil"/>
              <w:bottom w:val="nil"/>
              <w:right w:val="nil"/>
            </w:tcBorders>
          </w:tcPr>
          <w:p w14:paraId="6B7F2DE5" w14:textId="5E883453" w:rsidR="0084770E" w:rsidRDefault="0084770E" w:rsidP="001A5BD7">
            <w:pPr>
              <w:ind w:left="220" w:hanging="220"/>
              <w:cnfStyle w:val="000000100000" w:firstRow="0" w:lastRow="0" w:firstColumn="0" w:lastColumn="0" w:oddVBand="0" w:evenVBand="0" w:oddHBand="1" w:evenHBand="0" w:firstRowFirstColumn="0" w:firstRowLastColumn="0" w:lastRowFirstColumn="0" w:lastRowLastColumn="0"/>
            </w:pPr>
            <w:r>
              <w:t>In attendance</w:t>
            </w:r>
          </w:p>
        </w:tc>
        <w:tc>
          <w:tcPr>
            <w:tcW w:w="2851" w:type="dxa"/>
            <w:tcBorders>
              <w:top w:val="nil"/>
              <w:left w:val="nil"/>
              <w:bottom w:val="nil"/>
            </w:tcBorders>
          </w:tcPr>
          <w:p w14:paraId="0910938C" w14:textId="47C3D87D" w:rsidR="0084770E" w:rsidRDefault="0084770E" w:rsidP="001A5BD7">
            <w:pPr>
              <w:cnfStyle w:val="000000100000" w:firstRow="0" w:lastRow="0" w:firstColumn="0" w:lastColumn="0" w:oddVBand="0" w:evenVBand="0" w:oddHBand="1" w:evenHBand="0" w:firstRowFirstColumn="0" w:firstRowLastColumn="0" w:lastRowFirstColumn="0" w:lastRowLastColumn="0"/>
            </w:pPr>
            <w:r>
              <w:t xml:space="preserve">Phil Simcock </w:t>
            </w:r>
          </w:p>
        </w:tc>
      </w:tr>
      <w:tr w:rsidR="0084770E" w14:paraId="0E44B6B8" w14:textId="77777777" w:rsidTr="00202801">
        <w:tc>
          <w:tcPr>
            <w:cnfStyle w:val="001000000000" w:firstRow="0" w:lastRow="0" w:firstColumn="1" w:lastColumn="0" w:oddVBand="0" w:evenVBand="0" w:oddHBand="0" w:evenHBand="0" w:firstRowFirstColumn="0" w:firstRowLastColumn="0" w:lastRowFirstColumn="0" w:lastRowLastColumn="0"/>
            <w:tcW w:w="1525" w:type="dxa"/>
            <w:tcBorders>
              <w:top w:val="nil"/>
              <w:bottom w:val="nil"/>
              <w:right w:val="single" w:sz="4" w:space="0" w:color="auto"/>
            </w:tcBorders>
            <w:shd w:val="clear" w:color="auto" w:fill="auto"/>
          </w:tcPr>
          <w:p w14:paraId="0453779E" w14:textId="77777777" w:rsidR="0084770E" w:rsidRPr="00781187" w:rsidRDefault="0084770E" w:rsidP="001A5BD7"/>
        </w:tc>
        <w:tc>
          <w:tcPr>
            <w:tcW w:w="3573" w:type="dxa"/>
            <w:tcBorders>
              <w:top w:val="nil"/>
              <w:left w:val="single" w:sz="4" w:space="0" w:color="auto"/>
              <w:bottom w:val="single" w:sz="4" w:space="0" w:color="auto"/>
              <w:right w:val="nil"/>
            </w:tcBorders>
          </w:tcPr>
          <w:p w14:paraId="11208A0B" w14:textId="3C9C856A" w:rsidR="0084770E" w:rsidRDefault="0084770E" w:rsidP="001A5BD7">
            <w:pPr>
              <w:cnfStyle w:val="000000000000" w:firstRow="0" w:lastRow="0" w:firstColumn="0" w:lastColumn="0" w:oddVBand="0" w:evenVBand="0" w:oddHBand="0" w:evenHBand="0" w:firstRowFirstColumn="0" w:firstRowLastColumn="0" w:lastRowFirstColumn="0" w:lastRowLastColumn="0"/>
            </w:pPr>
            <w:r>
              <w:t>Director of Information Technology or nominee</w:t>
            </w:r>
          </w:p>
        </w:tc>
        <w:tc>
          <w:tcPr>
            <w:tcW w:w="1701" w:type="dxa"/>
            <w:tcBorders>
              <w:top w:val="nil"/>
              <w:left w:val="nil"/>
              <w:bottom w:val="single" w:sz="4" w:space="0" w:color="auto"/>
              <w:right w:val="nil"/>
            </w:tcBorders>
          </w:tcPr>
          <w:p w14:paraId="285C90D4" w14:textId="17E40861" w:rsidR="0084770E" w:rsidRDefault="0084770E" w:rsidP="001A5BD7">
            <w:pPr>
              <w:ind w:left="220" w:hanging="220"/>
              <w:cnfStyle w:val="000000000000" w:firstRow="0" w:lastRow="0" w:firstColumn="0" w:lastColumn="0" w:oddVBand="0" w:evenVBand="0" w:oddHBand="0" w:evenHBand="0" w:firstRowFirstColumn="0" w:firstRowLastColumn="0" w:lastRowFirstColumn="0" w:lastRowLastColumn="0"/>
            </w:pPr>
            <w:r>
              <w:t>In attendance</w:t>
            </w:r>
          </w:p>
        </w:tc>
        <w:tc>
          <w:tcPr>
            <w:tcW w:w="2851" w:type="dxa"/>
            <w:tcBorders>
              <w:top w:val="nil"/>
              <w:left w:val="nil"/>
              <w:bottom w:val="single" w:sz="4" w:space="0" w:color="auto"/>
            </w:tcBorders>
          </w:tcPr>
          <w:p w14:paraId="022CDDC6" w14:textId="138B2AC9" w:rsidR="0084770E" w:rsidRDefault="0084770E" w:rsidP="001A5BD7">
            <w:pPr>
              <w:cnfStyle w:val="000000000000" w:firstRow="0" w:lastRow="0" w:firstColumn="0" w:lastColumn="0" w:oddVBand="0" w:evenVBand="0" w:oddHBand="0" w:evenHBand="0" w:firstRowFirstColumn="0" w:firstRowLastColumn="0" w:lastRowFirstColumn="0" w:lastRowLastColumn="0"/>
            </w:pPr>
            <w:r>
              <w:t>Dr Nigel Rata</w:t>
            </w:r>
          </w:p>
        </w:tc>
      </w:tr>
      <w:tr w:rsidR="000A713F" w14:paraId="27EC8EEB" w14:textId="77777777" w:rsidTr="0DD6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D324510" w14:textId="77777777" w:rsidR="000A713F" w:rsidRPr="00870DAA" w:rsidRDefault="000A713F" w:rsidP="000A713F">
            <w:pPr>
              <w:rPr>
                <w:b w:val="0"/>
              </w:rPr>
            </w:pPr>
            <w:r w:rsidRPr="00870DAA">
              <w:rPr>
                <w:b w:val="0"/>
              </w:rPr>
              <w:t>Minutes</w:t>
            </w:r>
            <w:r>
              <w:rPr>
                <w:b w:val="0"/>
              </w:rPr>
              <w:t>*</w:t>
            </w:r>
          </w:p>
        </w:tc>
        <w:tc>
          <w:tcPr>
            <w:tcW w:w="3573" w:type="dxa"/>
            <w:tcBorders>
              <w:right w:val="nil"/>
            </w:tcBorders>
          </w:tcPr>
          <w:p w14:paraId="5C9041E4" w14:textId="59BB1F85" w:rsidR="000A713F" w:rsidRPr="00870DAA" w:rsidRDefault="000A713F" w:rsidP="000A713F">
            <w:pPr>
              <w:ind w:left="215" w:hanging="215"/>
              <w:cnfStyle w:val="000000100000" w:firstRow="0" w:lastRow="0" w:firstColumn="0" w:lastColumn="0" w:oddVBand="0" w:evenVBand="0" w:oddHBand="1" w:evenHBand="0" w:firstRowFirstColumn="0" w:firstRowLastColumn="0" w:lastRowFirstColumn="0" w:lastRowLastColumn="0"/>
            </w:pPr>
            <w:r>
              <w:t>Member of AQPO</w:t>
            </w:r>
          </w:p>
        </w:tc>
        <w:tc>
          <w:tcPr>
            <w:tcW w:w="1701" w:type="dxa"/>
            <w:tcBorders>
              <w:left w:val="nil"/>
              <w:right w:val="nil"/>
            </w:tcBorders>
          </w:tcPr>
          <w:p w14:paraId="253CA1D2" w14:textId="7AB51E69" w:rsidR="000A713F" w:rsidRPr="00870DAA" w:rsidRDefault="000A713F" w:rsidP="000A713F">
            <w:pPr>
              <w:ind w:left="220" w:hanging="220"/>
              <w:cnfStyle w:val="000000100000" w:firstRow="0" w:lastRow="0" w:firstColumn="0" w:lastColumn="0" w:oddVBand="0" w:evenVBand="0" w:oddHBand="1" w:evenHBand="0" w:firstRowFirstColumn="0" w:firstRowLastColumn="0" w:lastRowFirstColumn="0" w:lastRowLastColumn="0"/>
            </w:pPr>
            <w:r>
              <w:t>Chair</w:t>
            </w:r>
          </w:p>
        </w:tc>
        <w:tc>
          <w:tcPr>
            <w:tcW w:w="2851" w:type="dxa"/>
            <w:tcBorders>
              <w:left w:val="nil"/>
            </w:tcBorders>
          </w:tcPr>
          <w:p w14:paraId="2218AE89" w14:textId="5609290E" w:rsidR="000A713F" w:rsidRPr="00870DAA" w:rsidRDefault="000A713F" w:rsidP="000A713F">
            <w:pPr>
              <w:ind w:left="279" w:hanging="279"/>
              <w:cnfStyle w:val="000000100000" w:firstRow="0" w:lastRow="0" w:firstColumn="0" w:lastColumn="0" w:oddVBand="0" w:evenVBand="0" w:oddHBand="1" w:evenHBand="0" w:firstRowFirstColumn="0" w:firstRowLastColumn="0" w:lastRowFirstColumn="0" w:lastRowLastColumn="0"/>
            </w:pPr>
          </w:p>
        </w:tc>
      </w:tr>
    </w:tbl>
    <w:p w14:paraId="39339C59" w14:textId="77777777" w:rsidR="00870DAA" w:rsidRDefault="00870DAA">
      <w:bookmarkStart w:id="0" w:name="_Hlk10430979"/>
      <w:r>
        <w:t>* In attendance</w:t>
      </w:r>
      <w:bookmarkEnd w:id="0"/>
    </w:p>
    <w:p w14:paraId="0C01C70B" w14:textId="77777777" w:rsidR="009415BB" w:rsidRPr="00870DAA" w:rsidRDefault="009415BB"/>
    <w:p w14:paraId="3B3DBA20" w14:textId="77777777" w:rsidR="000F17E4" w:rsidRDefault="000F17E4" w:rsidP="000F17E4">
      <w:r>
        <w:rPr>
          <w:b/>
        </w:rPr>
        <w:t>Devolved Powers</w:t>
      </w:r>
    </w:p>
    <w:p w14:paraId="60AC5AD9" w14:textId="3672DECD" w:rsidR="00A24D77" w:rsidRPr="00A24D77" w:rsidRDefault="00A24D77" w:rsidP="00D16FA3">
      <w:pPr>
        <w:rPr>
          <w:bCs/>
        </w:rPr>
      </w:pPr>
      <w:r w:rsidRPr="00A24D77">
        <w:rPr>
          <w:bCs/>
        </w:rPr>
        <w:t>TBC</w:t>
      </w:r>
    </w:p>
    <w:p w14:paraId="045A1124" w14:textId="77777777" w:rsidR="00A24D77" w:rsidRDefault="00A24D77" w:rsidP="00D16FA3">
      <w:pPr>
        <w:rPr>
          <w:b/>
        </w:rPr>
      </w:pPr>
    </w:p>
    <w:p w14:paraId="0F268F77" w14:textId="77777777" w:rsidR="00D16FA3" w:rsidRDefault="00D16FA3" w:rsidP="00D16FA3">
      <w:pPr>
        <w:rPr>
          <w:b/>
        </w:rPr>
      </w:pPr>
    </w:p>
    <w:p w14:paraId="6A4A8B77" w14:textId="0B16DFEF" w:rsidR="00CA0419" w:rsidRPr="00AE2657" w:rsidRDefault="00CA0419"/>
    <w:sectPr w:rsidR="00CA0419" w:rsidRPr="00AE2657" w:rsidSect="002B590E">
      <w:footerReference w:type="default" r:id="rId10"/>
      <w:pgSz w:w="11906" w:h="16838"/>
      <w:pgMar w:top="1152" w:right="1152" w:bottom="1152" w:left="1152"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2586" w14:textId="77777777" w:rsidR="002A5D28" w:rsidRDefault="002A5D28" w:rsidP="002B590E">
      <w:r>
        <w:separator/>
      </w:r>
    </w:p>
  </w:endnote>
  <w:endnote w:type="continuationSeparator" w:id="0">
    <w:p w14:paraId="72BD21C4" w14:textId="77777777" w:rsidR="002A5D28" w:rsidRDefault="002A5D28" w:rsidP="002B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4431" w14:textId="77777777" w:rsidR="002B590E" w:rsidRPr="002B590E" w:rsidRDefault="002B590E" w:rsidP="002B590E">
    <w:pPr>
      <w:jc w:val="right"/>
      <w:rPr>
        <w:sz w:val="18"/>
      </w:rPr>
    </w:pPr>
    <w:r>
      <w:fldChar w:fldCharType="begin"/>
    </w:r>
    <w:r>
      <w:instrText xml:space="preserve"> PAGE   \* MERGEFORMAT </w:instrText>
    </w:r>
    <w:r>
      <w:fldChar w:fldCharType="separate"/>
    </w:r>
    <w:r w:rsidR="00EF101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097C" w14:textId="77777777" w:rsidR="002A5D28" w:rsidRDefault="002A5D28" w:rsidP="002B590E">
      <w:r>
        <w:separator/>
      </w:r>
    </w:p>
  </w:footnote>
  <w:footnote w:type="continuationSeparator" w:id="0">
    <w:p w14:paraId="42795120" w14:textId="77777777" w:rsidR="002A5D28" w:rsidRDefault="002A5D28" w:rsidP="002B5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07D"/>
    <w:multiLevelType w:val="hybridMultilevel"/>
    <w:tmpl w:val="74D4735A"/>
    <w:lvl w:ilvl="0" w:tplc="478ACC9E">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75D2B"/>
    <w:multiLevelType w:val="hybridMultilevel"/>
    <w:tmpl w:val="1FAC6A30"/>
    <w:lvl w:ilvl="0" w:tplc="478ACC9E">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6E33"/>
    <w:multiLevelType w:val="hybridMultilevel"/>
    <w:tmpl w:val="C2FCE5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DF66DF"/>
    <w:multiLevelType w:val="hybridMultilevel"/>
    <w:tmpl w:val="99DE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C2309"/>
    <w:multiLevelType w:val="hybridMultilevel"/>
    <w:tmpl w:val="255E0D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B49A8"/>
    <w:multiLevelType w:val="hybridMultilevel"/>
    <w:tmpl w:val="D706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E2C07"/>
    <w:multiLevelType w:val="hybridMultilevel"/>
    <w:tmpl w:val="BD842B5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807C30"/>
    <w:multiLevelType w:val="hybridMultilevel"/>
    <w:tmpl w:val="5D8A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73B7D"/>
    <w:multiLevelType w:val="hybridMultilevel"/>
    <w:tmpl w:val="44608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3D1531"/>
    <w:multiLevelType w:val="hybridMultilevel"/>
    <w:tmpl w:val="41CA42F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5339B28"/>
    <w:multiLevelType w:val="hybridMultilevel"/>
    <w:tmpl w:val="CAE68D3C"/>
    <w:lvl w:ilvl="0" w:tplc="D742ADA2">
      <w:start w:val="1"/>
      <w:numFmt w:val="bullet"/>
      <w:lvlText w:val="-"/>
      <w:lvlJc w:val="left"/>
      <w:pPr>
        <w:ind w:left="810" w:hanging="360"/>
      </w:pPr>
      <w:rPr>
        <w:rFonts w:ascii="Aptos" w:hAnsi="Aptos" w:hint="default"/>
      </w:rPr>
    </w:lvl>
    <w:lvl w:ilvl="1" w:tplc="954AC2B8">
      <w:start w:val="1"/>
      <w:numFmt w:val="bullet"/>
      <w:lvlText w:val="o"/>
      <w:lvlJc w:val="left"/>
      <w:pPr>
        <w:ind w:left="1530" w:hanging="360"/>
      </w:pPr>
      <w:rPr>
        <w:rFonts w:ascii="Courier New" w:hAnsi="Courier New" w:hint="default"/>
      </w:rPr>
    </w:lvl>
    <w:lvl w:ilvl="2" w:tplc="A7A4C754">
      <w:start w:val="1"/>
      <w:numFmt w:val="bullet"/>
      <w:lvlText w:val=""/>
      <w:lvlJc w:val="left"/>
      <w:pPr>
        <w:ind w:left="2250" w:hanging="360"/>
      </w:pPr>
      <w:rPr>
        <w:rFonts w:ascii="Wingdings" w:hAnsi="Wingdings" w:hint="default"/>
      </w:rPr>
    </w:lvl>
    <w:lvl w:ilvl="3" w:tplc="83048E3E">
      <w:start w:val="1"/>
      <w:numFmt w:val="bullet"/>
      <w:lvlText w:val=""/>
      <w:lvlJc w:val="left"/>
      <w:pPr>
        <w:ind w:left="2970" w:hanging="360"/>
      </w:pPr>
      <w:rPr>
        <w:rFonts w:ascii="Symbol" w:hAnsi="Symbol" w:hint="default"/>
      </w:rPr>
    </w:lvl>
    <w:lvl w:ilvl="4" w:tplc="73A28458">
      <w:start w:val="1"/>
      <w:numFmt w:val="bullet"/>
      <w:lvlText w:val="o"/>
      <w:lvlJc w:val="left"/>
      <w:pPr>
        <w:ind w:left="3690" w:hanging="360"/>
      </w:pPr>
      <w:rPr>
        <w:rFonts w:ascii="Courier New" w:hAnsi="Courier New" w:hint="default"/>
      </w:rPr>
    </w:lvl>
    <w:lvl w:ilvl="5" w:tplc="8F02BA60">
      <w:start w:val="1"/>
      <w:numFmt w:val="bullet"/>
      <w:lvlText w:val=""/>
      <w:lvlJc w:val="left"/>
      <w:pPr>
        <w:ind w:left="4410" w:hanging="360"/>
      </w:pPr>
      <w:rPr>
        <w:rFonts w:ascii="Wingdings" w:hAnsi="Wingdings" w:hint="default"/>
      </w:rPr>
    </w:lvl>
    <w:lvl w:ilvl="6" w:tplc="75E4287C">
      <w:start w:val="1"/>
      <w:numFmt w:val="bullet"/>
      <w:lvlText w:val=""/>
      <w:lvlJc w:val="left"/>
      <w:pPr>
        <w:ind w:left="5130" w:hanging="360"/>
      </w:pPr>
      <w:rPr>
        <w:rFonts w:ascii="Symbol" w:hAnsi="Symbol" w:hint="default"/>
      </w:rPr>
    </w:lvl>
    <w:lvl w:ilvl="7" w:tplc="762CF7BE">
      <w:start w:val="1"/>
      <w:numFmt w:val="bullet"/>
      <w:lvlText w:val="o"/>
      <w:lvlJc w:val="left"/>
      <w:pPr>
        <w:ind w:left="5850" w:hanging="360"/>
      </w:pPr>
      <w:rPr>
        <w:rFonts w:ascii="Courier New" w:hAnsi="Courier New" w:hint="default"/>
      </w:rPr>
    </w:lvl>
    <w:lvl w:ilvl="8" w:tplc="B8AA08EC">
      <w:start w:val="1"/>
      <w:numFmt w:val="bullet"/>
      <w:lvlText w:val=""/>
      <w:lvlJc w:val="left"/>
      <w:pPr>
        <w:ind w:left="6570" w:hanging="360"/>
      </w:pPr>
      <w:rPr>
        <w:rFonts w:ascii="Wingdings" w:hAnsi="Wingdings" w:hint="default"/>
      </w:rPr>
    </w:lvl>
  </w:abstractNum>
  <w:abstractNum w:abstractNumId="11" w15:restartNumberingAfterBreak="0">
    <w:nsid w:val="4BCD497B"/>
    <w:multiLevelType w:val="hybridMultilevel"/>
    <w:tmpl w:val="3FE6E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F5F4C"/>
    <w:multiLevelType w:val="hybridMultilevel"/>
    <w:tmpl w:val="9B822F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1A7690"/>
    <w:multiLevelType w:val="hybridMultilevel"/>
    <w:tmpl w:val="99DE47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76450B"/>
    <w:multiLevelType w:val="hybridMultilevel"/>
    <w:tmpl w:val="3FE6E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702D1D"/>
    <w:multiLevelType w:val="hybridMultilevel"/>
    <w:tmpl w:val="C06CA5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7143BD"/>
    <w:multiLevelType w:val="hybridMultilevel"/>
    <w:tmpl w:val="96B07D6E"/>
    <w:lvl w:ilvl="0" w:tplc="84AC2528">
      <w:start w:val="1"/>
      <w:numFmt w:val="decimal"/>
      <w:lvlText w:val="%1."/>
      <w:lvlJc w:val="left"/>
      <w:pPr>
        <w:ind w:left="360" w:hanging="360"/>
      </w:pPr>
    </w:lvl>
    <w:lvl w:ilvl="1" w:tplc="D974C198">
      <w:start w:val="1"/>
      <w:numFmt w:val="lowerLetter"/>
      <w:lvlText w:val="%2."/>
      <w:lvlJc w:val="left"/>
      <w:pPr>
        <w:ind w:left="1440" w:hanging="360"/>
      </w:pPr>
    </w:lvl>
    <w:lvl w:ilvl="2" w:tplc="757C7B6A">
      <w:start w:val="1"/>
      <w:numFmt w:val="lowerRoman"/>
      <w:lvlText w:val="%3."/>
      <w:lvlJc w:val="right"/>
      <w:pPr>
        <w:ind w:left="2160" w:hanging="180"/>
      </w:pPr>
    </w:lvl>
    <w:lvl w:ilvl="3" w:tplc="33CA51B2">
      <w:start w:val="1"/>
      <w:numFmt w:val="decimal"/>
      <w:lvlText w:val="%4."/>
      <w:lvlJc w:val="left"/>
      <w:pPr>
        <w:ind w:left="2880" w:hanging="360"/>
      </w:pPr>
    </w:lvl>
    <w:lvl w:ilvl="4" w:tplc="ADA4167C">
      <w:start w:val="1"/>
      <w:numFmt w:val="lowerLetter"/>
      <w:lvlText w:val="%5."/>
      <w:lvlJc w:val="left"/>
      <w:pPr>
        <w:ind w:left="3600" w:hanging="360"/>
      </w:pPr>
    </w:lvl>
    <w:lvl w:ilvl="5" w:tplc="EB84AC8A">
      <w:start w:val="1"/>
      <w:numFmt w:val="lowerRoman"/>
      <w:lvlText w:val="%6."/>
      <w:lvlJc w:val="right"/>
      <w:pPr>
        <w:ind w:left="4320" w:hanging="180"/>
      </w:pPr>
    </w:lvl>
    <w:lvl w:ilvl="6" w:tplc="A6EAEB24">
      <w:start w:val="1"/>
      <w:numFmt w:val="decimal"/>
      <w:lvlText w:val="%7."/>
      <w:lvlJc w:val="left"/>
      <w:pPr>
        <w:ind w:left="5040" w:hanging="360"/>
      </w:pPr>
    </w:lvl>
    <w:lvl w:ilvl="7" w:tplc="4E662FE6">
      <w:start w:val="1"/>
      <w:numFmt w:val="lowerLetter"/>
      <w:lvlText w:val="%8."/>
      <w:lvlJc w:val="left"/>
      <w:pPr>
        <w:ind w:left="5760" w:hanging="360"/>
      </w:pPr>
    </w:lvl>
    <w:lvl w:ilvl="8" w:tplc="EE168A40">
      <w:start w:val="1"/>
      <w:numFmt w:val="lowerRoman"/>
      <w:lvlText w:val="%9."/>
      <w:lvlJc w:val="right"/>
      <w:pPr>
        <w:ind w:left="6480" w:hanging="180"/>
      </w:pPr>
    </w:lvl>
  </w:abstractNum>
  <w:abstractNum w:abstractNumId="17" w15:restartNumberingAfterBreak="0">
    <w:nsid w:val="60C23247"/>
    <w:multiLevelType w:val="hybridMultilevel"/>
    <w:tmpl w:val="5BA68132"/>
    <w:lvl w:ilvl="0" w:tplc="478ACC9E">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949E3"/>
    <w:multiLevelType w:val="hybridMultilevel"/>
    <w:tmpl w:val="A9D01216"/>
    <w:lvl w:ilvl="0" w:tplc="478ACC9E">
      <w:start w:val="1"/>
      <w:numFmt w:val="bullet"/>
      <w:lvlText w:val="-"/>
      <w:lvlJc w:val="left"/>
      <w:pPr>
        <w:ind w:left="720" w:hanging="360"/>
      </w:pPr>
      <w:rPr>
        <w:rFonts w:ascii="Corbel" w:eastAsiaTheme="minorHAns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C659B"/>
    <w:multiLevelType w:val="hybridMultilevel"/>
    <w:tmpl w:val="7FD6B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2D2173"/>
    <w:multiLevelType w:val="hybridMultilevel"/>
    <w:tmpl w:val="CCA8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63BEB"/>
    <w:multiLevelType w:val="hybridMultilevel"/>
    <w:tmpl w:val="BD9241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CC2224"/>
    <w:multiLevelType w:val="hybridMultilevel"/>
    <w:tmpl w:val="00E232C6"/>
    <w:lvl w:ilvl="0" w:tplc="3956E35C">
      <w:start w:val="1"/>
      <w:numFmt w:val="bullet"/>
      <w:lvlText w:val="-"/>
      <w:lvlJc w:val="left"/>
      <w:pPr>
        <w:ind w:left="810" w:hanging="360"/>
      </w:pPr>
      <w:rPr>
        <w:rFonts w:ascii="Aptos" w:hAnsi="Aptos" w:hint="default"/>
      </w:rPr>
    </w:lvl>
    <w:lvl w:ilvl="1" w:tplc="D76CD246">
      <w:start w:val="1"/>
      <w:numFmt w:val="bullet"/>
      <w:lvlText w:val="o"/>
      <w:lvlJc w:val="left"/>
      <w:pPr>
        <w:ind w:left="1530" w:hanging="360"/>
      </w:pPr>
      <w:rPr>
        <w:rFonts w:ascii="Courier New" w:hAnsi="Courier New" w:hint="default"/>
      </w:rPr>
    </w:lvl>
    <w:lvl w:ilvl="2" w:tplc="589E07A0">
      <w:start w:val="1"/>
      <w:numFmt w:val="bullet"/>
      <w:lvlText w:val=""/>
      <w:lvlJc w:val="left"/>
      <w:pPr>
        <w:ind w:left="2250" w:hanging="360"/>
      </w:pPr>
      <w:rPr>
        <w:rFonts w:ascii="Wingdings" w:hAnsi="Wingdings" w:hint="default"/>
      </w:rPr>
    </w:lvl>
    <w:lvl w:ilvl="3" w:tplc="073C009A">
      <w:start w:val="1"/>
      <w:numFmt w:val="bullet"/>
      <w:lvlText w:val=""/>
      <w:lvlJc w:val="left"/>
      <w:pPr>
        <w:ind w:left="2970" w:hanging="360"/>
      </w:pPr>
      <w:rPr>
        <w:rFonts w:ascii="Symbol" w:hAnsi="Symbol" w:hint="default"/>
      </w:rPr>
    </w:lvl>
    <w:lvl w:ilvl="4" w:tplc="6AC0E7D4">
      <w:start w:val="1"/>
      <w:numFmt w:val="bullet"/>
      <w:lvlText w:val="o"/>
      <w:lvlJc w:val="left"/>
      <w:pPr>
        <w:ind w:left="3690" w:hanging="360"/>
      </w:pPr>
      <w:rPr>
        <w:rFonts w:ascii="Courier New" w:hAnsi="Courier New" w:hint="default"/>
      </w:rPr>
    </w:lvl>
    <w:lvl w:ilvl="5" w:tplc="564E6902">
      <w:start w:val="1"/>
      <w:numFmt w:val="bullet"/>
      <w:lvlText w:val=""/>
      <w:lvlJc w:val="left"/>
      <w:pPr>
        <w:ind w:left="4410" w:hanging="360"/>
      </w:pPr>
      <w:rPr>
        <w:rFonts w:ascii="Wingdings" w:hAnsi="Wingdings" w:hint="default"/>
      </w:rPr>
    </w:lvl>
    <w:lvl w:ilvl="6" w:tplc="E37E120A">
      <w:start w:val="1"/>
      <w:numFmt w:val="bullet"/>
      <w:lvlText w:val=""/>
      <w:lvlJc w:val="left"/>
      <w:pPr>
        <w:ind w:left="5130" w:hanging="360"/>
      </w:pPr>
      <w:rPr>
        <w:rFonts w:ascii="Symbol" w:hAnsi="Symbol" w:hint="default"/>
      </w:rPr>
    </w:lvl>
    <w:lvl w:ilvl="7" w:tplc="5B6EE7C6">
      <w:start w:val="1"/>
      <w:numFmt w:val="bullet"/>
      <w:lvlText w:val="o"/>
      <w:lvlJc w:val="left"/>
      <w:pPr>
        <w:ind w:left="5850" w:hanging="360"/>
      </w:pPr>
      <w:rPr>
        <w:rFonts w:ascii="Courier New" w:hAnsi="Courier New" w:hint="default"/>
      </w:rPr>
    </w:lvl>
    <w:lvl w:ilvl="8" w:tplc="5A140E5A">
      <w:start w:val="1"/>
      <w:numFmt w:val="bullet"/>
      <w:lvlText w:val=""/>
      <w:lvlJc w:val="left"/>
      <w:pPr>
        <w:ind w:left="6570" w:hanging="360"/>
      </w:pPr>
      <w:rPr>
        <w:rFonts w:ascii="Wingdings" w:hAnsi="Wingdings" w:hint="default"/>
      </w:rPr>
    </w:lvl>
  </w:abstractNum>
  <w:abstractNum w:abstractNumId="23" w15:restartNumberingAfterBreak="0">
    <w:nsid w:val="793B1275"/>
    <w:multiLevelType w:val="hybridMultilevel"/>
    <w:tmpl w:val="FA30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80992">
    <w:abstractNumId w:val="16"/>
  </w:num>
  <w:num w:numId="2" w16cid:durableId="2057967375">
    <w:abstractNumId w:val="10"/>
  </w:num>
  <w:num w:numId="3" w16cid:durableId="1535314248">
    <w:abstractNumId w:val="22"/>
  </w:num>
  <w:num w:numId="4" w16cid:durableId="881598992">
    <w:abstractNumId w:val="8"/>
  </w:num>
  <w:num w:numId="5" w16cid:durableId="26804884">
    <w:abstractNumId w:val="15"/>
  </w:num>
  <w:num w:numId="6" w16cid:durableId="991449260">
    <w:abstractNumId w:val="12"/>
  </w:num>
  <w:num w:numId="7" w16cid:durableId="1734963323">
    <w:abstractNumId w:val="6"/>
  </w:num>
  <w:num w:numId="8" w16cid:durableId="2085252439">
    <w:abstractNumId w:val="19"/>
  </w:num>
  <w:num w:numId="9" w16cid:durableId="1697652146">
    <w:abstractNumId w:val="11"/>
  </w:num>
  <w:num w:numId="10" w16cid:durableId="1398167342">
    <w:abstractNumId w:val="14"/>
  </w:num>
  <w:num w:numId="11" w16cid:durableId="1846897546">
    <w:abstractNumId w:val="21"/>
  </w:num>
  <w:num w:numId="12" w16cid:durableId="710808728">
    <w:abstractNumId w:val="5"/>
  </w:num>
  <w:num w:numId="13" w16cid:durableId="2018729186">
    <w:abstractNumId w:val="4"/>
  </w:num>
  <w:num w:numId="14" w16cid:durableId="1453868040">
    <w:abstractNumId w:val="9"/>
  </w:num>
  <w:num w:numId="15" w16cid:durableId="1120301853">
    <w:abstractNumId w:val="3"/>
  </w:num>
  <w:num w:numId="16" w16cid:durableId="405348150">
    <w:abstractNumId w:val="20"/>
  </w:num>
  <w:num w:numId="17" w16cid:durableId="1545826348">
    <w:abstractNumId w:val="7"/>
  </w:num>
  <w:num w:numId="18" w16cid:durableId="728572283">
    <w:abstractNumId w:val="23"/>
  </w:num>
  <w:num w:numId="19" w16cid:durableId="556091862">
    <w:abstractNumId w:val="17"/>
  </w:num>
  <w:num w:numId="20" w16cid:durableId="853038939">
    <w:abstractNumId w:val="1"/>
  </w:num>
  <w:num w:numId="21" w16cid:durableId="2019304630">
    <w:abstractNumId w:val="0"/>
  </w:num>
  <w:num w:numId="22" w16cid:durableId="1268080011">
    <w:abstractNumId w:val="18"/>
  </w:num>
  <w:num w:numId="23" w16cid:durableId="1376468447">
    <w:abstractNumId w:val="2"/>
  </w:num>
  <w:num w:numId="24" w16cid:durableId="922495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AB"/>
    <w:rsid w:val="00002B3B"/>
    <w:rsid w:val="000402E7"/>
    <w:rsid w:val="000423F9"/>
    <w:rsid w:val="0004673E"/>
    <w:rsid w:val="00052FF0"/>
    <w:rsid w:val="000613A9"/>
    <w:rsid w:val="00061582"/>
    <w:rsid w:val="00065988"/>
    <w:rsid w:val="0007513F"/>
    <w:rsid w:val="00077273"/>
    <w:rsid w:val="0008783D"/>
    <w:rsid w:val="00087FD0"/>
    <w:rsid w:val="00093750"/>
    <w:rsid w:val="00094471"/>
    <w:rsid w:val="000A713F"/>
    <w:rsid w:val="000C5A49"/>
    <w:rsid w:val="000F076F"/>
    <w:rsid w:val="000F17E4"/>
    <w:rsid w:val="000F7A3A"/>
    <w:rsid w:val="001026B9"/>
    <w:rsid w:val="001340D3"/>
    <w:rsid w:val="00140B5E"/>
    <w:rsid w:val="00151C99"/>
    <w:rsid w:val="00151CCC"/>
    <w:rsid w:val="00154D00"/>
    <w:rsid w:val="001A27BC"/>
    <w:rsid w:val="001A5BD7"/>
    <w:rsid w:val="001B475A"/>
    <w:rsid w:val="001E3BD7"/>
    <w:rsid w:val="001E40A7"/>
    <w:rsid w:val="002001F7"/>
    <w:rsid w:val="00244B91"/>
    <w:rsid w:val="00246378"/>
    <w:rsid w:val="002479EC"/>
    <w:rsid w:val="00247D09"/>
    <w:rsid w:val="002877B5"/>
    <w:rsid w:val="00294151"/>
    <w:rsid w:val="002A5D28"/>
    <w:rsid w:val="002B590E"/>
    <w:rsid w:val="002C57F4"/>
    <w:rsid w:val="002D09B0"/>
    <w:rsid w:val="002D250A"/>
    <w:rsid w:val="002E0797"/>
    <w:rsid w:val="002F183E"/>
    <w:rsid w:val="003340D3"/>
    <w:rsid w:val="0037329B"/>
    <w:rsid w:val="00373C7A"/>
    <w:rsid w:val="00380F60"/>
    <w:rsid w:val="00390C62"/>
    <w:rsid w:val="003B0674"/>
    <w:rsid w:val="003C4C70"/>
    <w:rsid w:val="003E0147"/>
    <w:rsid w:val="00423152"/>
    <w:rsid w:val="00423542"/>
    <w:rsid w:val="004610FF"/>
    <w:rsid w:val="00467CFD"/>
    <w:rsid w:val="00471618"/>
    <w:rsid w:val="004C3EF7"/>
    <w:rsid w:val="004C4144"/>
    <w:rsid w:val="004F0E6A"/>
    <w:rsid w:val="0050782A"/>
    <w:rsid w:val="0051597E"/>
    <w:rsid w:val="00516129"/>
    <w:rsid w:val="005201BE"/>
    <w:rsid w:val="00551EB5"/>
    <w:rsid w:val="00582DAB"/>
    <w:rsid w:val="005958F0"/>
    <w:rsid w:val="005A70C9"/>
    <w:rsid w:val="005B4924"/>
    <w:rsid w:val="005C4DCB"/>
    <w:rsid w:val="005C5D68"/>
    <w:rsid w:val="005C67F1"/>
    <w:rsid w:val="005D049D"/>
    <w:rsid w:val="005D12F0"/>
    <w:rsid w:val="0060241C"/>
    <w:rsid w:val="0061151F"/>
    <w:rsid w:val="00613178"/>
    <w:rsid w:val="00630643"/>
    <w:rsid w:val="0063416E"/>
    <w:rsid w:val="00634440"/>
    <w:rsid w:val="00641967"/>
    <w:rsid w:val="0067094D"/>
    <w:rsid w:val="00687670"/>
    <w:rsid w:val="006A4F44"/>
    <w:rsid w:val="006B3825"/>
    <w:rsid w:val="006C470E"/>
    <w:rsid w:val="006D1C7E"/>
    <w:rsid w:val="006D4B94"/>
    <w:rsid w:val="006E4417"/>
    <w:rsid w:val="006F4419"/>
    <w:rsid w:val="00717431"/>
    <w:rsid w:val="00725593"/>
    <w:rsid w:val="007460BC"/>
    <w:rsid w:val="0074777D"/>
    <w:rsid w:val="00753FC4"/>
    <w:rsid w:val="00755D85"/>
    <w:rsid w:val="00756407"/>
    <w:rsid w:val="00761A5A"/>
    <w:rsid w:val="0076574E"/>
    <w:rsid w:val="00774143"/>
    <w:rsid w:val="007767DD"/>
    <w:rsid w:val="00781187"/>
    <w:rsid w:val="007A14A3"/>
    <w:rsid w:val="007B7D48"/>
    <w:rsid w:val="007F34A7"/>
    <w:rsid w:val="00804BD7"/>
    <w:rsid w:val="00822195"/>
    <w:rsid w:val="008234CE"/>
    <w:rsid w:val="0084770E"/>
    <w:rsid w:val="00853368"/>
    <w:rsid w:val="0086708E"/>
    <w:rsid w:val="008707E9"/>
    <w:rsid w:val="00870DAA"/>
    <w:rsid w:val="00873621"/>
    <w:rsid w:val="008917AA"/>
    <w:rsid w:val="008A330A"/>
    <w:rsid w:val="00910E8B"/>
    <w:rsid w:val="0091273F"/>
    <w:rsid w:val="009242DB"/>
    <w:rsid w:val="009415BB"/>
    <w:rsid w:val="00967DA2"/>
    <w:rsid w:val="00987207"/>
    <w:rsid w:val="00993706"/>
    <w:rsid w:val="009964C3"/>
    <w:rsid w:val="009C5045"/>
    <w:rsid w:val="009C6E31"/>
    <w:rsid w:val="009D2553"/>
    <w:rsid w:val="009E108A"/>
    <w:rsid w:val="009E1B5D"/>
    <w:rsid w:val="009F7368"/>
    <w:rsid w:val="00A0324F"/>
    <w:rsid w:val="00A10AC6"/>
    <w:rsid w:val="00A24D77"/>
    <w:rsid w:val="00A31FAF"/>
    <w:rsid w:val="00A5521F"/>
    <w:rsid w:val="00A6049D"/>
    <w:rsid w:val="00A80642"/>
    <w:rsid w:val="00AD018B"/>
    <w:rsid w:val="00AD5705"/>
    <w:rsid w:val="00AD6693"/>
    <w:rsid w:val="00AE2657"/>
    <w:rsid w:val="00B062AE"/>
    <w:rsid w:val="00B077E6"/>
    <w:rsid w:val="00B2417A"/>
    <w:rsid w:val="00B35A54"/>
    <w:rsid w:val="00B52121"/>
    <w:rsid w:val="00B8156C"/>
    <w:rsid w:val="00B829CE"/>
    <w:rsid w:val="00BA24D2"/>
    <w:rsid w:val="00BA63C9"/>
    <w:rsid w:val="00BB5DE0"/>
    <w:rsid w:val="00BC036E"/>
    <w:rsid w:val="00BC4BBD"/>
    <w:rsid w:val="00BE5942"/>
    <w:rsid w:val="00BF594F"/>
    <w:rsid w:val="00C21F76"/>
    <w:rsid w:val="00C21FE5"/>
    <w:rsid w:val="00C337C6"/>
    <w:rsid w:val="00C41F0D"/>
    <w:rsid w:val="00C87F42"/>
    <w:rsid w:val="00C95D6D"/>
    <w:rsid w:val="00CA0419"/>
    <w:rsid w:val="00CD200B"/>
    <w:rsid w:val="00CD216D"/>
    <w:rsid w:val="00CD3659"/>
    <w:rsid w:val="00CE2481"/>
    <w:rsid w:val="00CF4B32"/>
    <w:rsid w:val="00D14329"/>
    <w:rsid w:val="00D16FA3"/>
    <w:rsid w:val="00D20724"/>
    <w:rsid w:val="00D94502"/>
    <w:rsid w:val="00DA6CA7"/>
    <w:rsid w:val="00DD0D90"/>
    <w:rsid w:val="00DD4ABC"/>
    <w:rsid w:val="00DD7E44"/>
    <w:rsid w:val="00DF5F19"/>
    <w:rsid w:val="00E030F5"/>
    <w:rsid w:val="00E10314"/>
    <w:rsid w:val="00E16CF0"/>
    <w:rsid w:val="00E20FFB"/>
    <w:rsid w:val="00E37BAC"/>
    <w:rsid w:val="00E41A08"/>
    <w:rsid w:val="00E43ACA"/>
    <w:rsid w:val="00E5001C"/>
    <w:rsid w:val="00E576C5"/>
    <w:rsid w:val="00E71091"/>
    <w:rsid w:val="00E7444D"/>
    <w:rsid w:val="00E914F0"/>
    <w:rsid w:val="00EB45BB"/>
    <w:rsid w:val="00ED0FF0"/>
    <w:rsid w:val="00EF1019"/>
    <w:rsid w:val="00F00818"/>
    <w:rsid w:val="00F23C21"/>
    <w:rsid w:val="00F30284"/>
    <w:rsid w:val="00F37B70"/>
    <w:rsid w:val="00F55764"/>
    <w:rsid w:val="00F779F5"/>
    <w:rsid w:val="00FC173B"/>
    <w:rsid w:val="00FD2720"/>
    <w:rsid w:val="03790618"/>
    <w:rsid w:val="05C3DDBA"/>
    <w:rsid w:val="05CAC9B1"/>
    <w:rsid w:val="06F7E202"/>
    <w:rsid w:val="07701BEB"/>
    <w:rsid w:val="0BA0F32B"/>
    <w:rsid w:val="0DD62DEF"/>
    <w:rsid w:val="0E2ACA69"/>
    <w:rsid w:val="0E8DE58D"/>
    <w:rsid w:val="0F152DE7"/>
    <w:rsid w:val="0F779F32"/>
    <w:rsid w:val="0F7EBA11"/>
    <w:rsid w:val="10D0E968"/>
    <w:rsid w:val="11B4870F"/>
    <w:rsid w:val="133999C3"/>
    <w:rsid w:val="13A7905F"/>
    <w:rsid w:val="1680EB5E"/>
    <w:rsid w:val="176224FE"/>
    <w:rsid w:val="18918BA5"/>
    <w:rsid w:val="1907EE58"/>
    <w:rsid w:val="1C8AACB7"/>
    <w:rsid w:val="1EE685BD"/>
    <w:rsid w:val="21802C85"/>
    <w:rsid w:val="229EE037"/>
    <w:rsid w:val="22E7B1A5"/>
    <w:rsid w:val="23F77657"/>
    <w:rsid w:val="261117A0"/>
    <w:rsid w:val="29F56629"/>
    <w:rsid w:val="2C709BD4"/>
    <w:rsid w:val="2EB91083"/>
    <w:rsid w:val="324DDE82"/>
    <w:rsid w:val="3819ABC8"/>
    <w:rsid w:val="3AB3109F"/>
    <w:rsid w:val="3C859D29"/>
    <w:rsid w:val="40E5302B"/>
    <w:rsid w:val="461DDF4F"/>
    <w:rsid w:val="4B4FA3AA"/>
    <w:rsid w:val="4EAB2C9F"/>
    <w:rsid w:val="4F9F43C5"/>
    <w:rsid w:val="4FF2827C"/>
    <w:rsid w:val="50CC81D2"/>
    <w:rsid w:val="530FD730"/>
    <w:rsid w:val="536E66F4"/>
    <w:rsid w:val="54C45637"/>
    <w:rsid w:val="5563548E"/>
    <w:rsid w:val="56ABFC2F"/>
    <w:rsid w:val="56FE3F6D"/>
    <w:rsid w:val="5701764B"/>
    <w:rsid w:val="57492937"/>
    <w:rsid w:val="58AD6EDE"/>
    <w:rsid w:val="58D4FC63"/>
    <w:rsid w:val="5CD78CCA"/>
    <w:rsid w:val="5D1DDDE7"/>
    <w:rsid w:val="5D7C0BFC"/>
    <w:rsid w:val="616804F9"/>
    <w:rsid w:val="6352CF6D"/>
    <w:rsid w:val="661F0C66"/>
    <w:rsid w:val="679195FC"/>
    <w:rsid w:val="6AD15A8F"/>
    <w:rsid w:val="70F7DDE1"/>
    <w:rsid w:val="71D1347C"/>
    <w:rsid w:val="72176FCF"/>
    <w:rsid w:val="72986BB0"/>
    <w:rsid w:val="731DDBDA"/>
    <w:rsid w:val="7342C3A5"/>
    <w:rsid w:val="759A44BE"/>
    <w:rsid w:val="76299C5B"/>
    <w:rsid w:val="770CCF4E"/>
    <w:rsid w:val="77C8A3FA"/>
    <w:rsid w:val="787FE0B5"/>
    <w:rsid w:val="79B479A2"/>
    <w:rsid w:val="79EE3D25"/>
    <w:rsid w:val="7DFBF5D6"/>
    <w:rsid w:val="7EB52B9E"/>
    <w:rsid w:val="7F8AA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3353"/>
  <w15:chartTrackingRefBased/>
  <w15:docId w15:val="{64860338-F237-4E0B-A539-9C053D8A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0E"/>
    <w:rPr>
      <w:rFonts w:ascii="Corbel" w:hAnsi="Corbel"/>
      <w:sz w:val="21"/>
      <w:szCs w:val="21"/>
    </w:rPr>
  </w:style>
  <w:style w:type="paragraph" w:styleId="Heading1">
    <w:name w:val="heading 1"/>
    <w:basedOn w:val="Normal"/>
    <w:next w:val="Normal"/>
    <w:link w:val="Heading1Char"/>
    <w:uiPriority w:val="9"/>
    <w:qFormat/>
    <w:rsid w:val="0061151F"/>
    <w:pPr>
      <w:keepNext/>
      <w:keepLines/>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1151F"/>
    <w:pPr>
      <w:keepNext/>
      <w:keepLines/>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9"/>
    <w:unhideWhenUsed/>
    <w:qFormat/>
    <w:rsid w:val="0061151F"/>
    <w:pPr>
      <w:keepNext/>
      <w:keepLines/>
      <w:outlineLvl w:val="2"/>
    </w:pPr>
    <w:rPr>
      <w:rFonts w:eastAsiaTheme="majorEastAsia" w:cstheme="majorBidi"/>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51F"/>
    <w:rPr>
      <w:rFonts w:ascii="Corbel" w:eastAsiaTheme="majorEastAsia" w:hAnsi="Corbel" w:cstheme="majorBidi"/>
      <w:b/>
      <w:color w:val="000000" w:themeColor="text1"/>
      <w:szCs w:val="32"/>
    </w:rPr>
  </w:style>
  <w:style w:type="character" w:customStyle="1" w:styleId="Heading2Char">
    <w:name w:val="Heading 2 Char"/>
    <w:basedOn w:val="DefaultParagraphFont"/>
    <w:link w:val="Heading2"/>
    <w:uiPriority w:val="9"/>
    <w:rsid w:val="0061151F"/>
    <w:rPr>
      <w:rFonts w:ascii="Corbel" w:eastAsiaTheme="majorEastAsia" w:hAnsi="Corbel" w:cstheme="majorBidi"/>
      <w:color w:val="000000" w:themeColor="text1"/>
      <w:szCs w:val="26"/>
      <w:u w:val="single"/>
    </w:rPr>
  </w:style>
  <w:style w:type="character" w:customStyle="1" w:styleId="Heading3Char">
    <w:name w:val="Heading 3 Char"/>
    <w:basedOn w:val="DefaultParagraphFont"/>
    <w:link w:val="Heading3"/>
    <w:uiPriority w:val="9"/>
    <w:rsid w:val="0061151F"/>
    <w:rPr>
      <w:rFonts w:ascii="Corbel" w:eastAsiaTheme="majorEastAsia" w:hAnsi="Corbel" w:cstheme="majorBidi"/>
      <w:i/>
      <w:color w:val="000000" w:themeColor="text1"/>
      <w:szCs w:val="24"/>
    </w:rPr>
  </w:style>
  <w:style w:type="paragraph" w:styleId="ListParagraph">
    <w:name w:val="List Paragraph"/>
    <w:basedOn w:val="Normal"/>
    <w:uiPriority w:val="34"/>
    <w:qFormat/>
    <w:rsid w:val="002B590E"/>
    <w:pPr>
      <w:ind w:left="720"/>
      <w:contextualSpacing/>
    </w:pPr>
  </w:style>
  <w:style w:type="paragraph" w:styleId="Header">
    <w:name w:val="header"/>
    <w:basedOn w:val="Normal"/>
    <w:link w:val="HeaderChar"/>
    <w:uiPriority w:val="99"/>
    <w:unhideWhenUsed/>
    <w:rsid w:val="002B590E"/>
    <w:pPr>
      <w:tabs>
        <w:tab w:val="center" w:pos="4680"/>
        <w:tab w:val="right" w:pos="9360"/>
      </w:tabs>
    </w:pPr>
  </w:style>
  <w:style w:type="character" w:customStyle="1" w:styleId="HeaderChar">
    <w:name w:val="Header Char"/>
    <w:basedOn w:val="DefaultParagraphFont"/>
    <w:link w:val="Header"/>
    <w:uiPriority w:val="99"/>
    <w:rsid w:val="002B590E"/>
    <w:rPr>
      <w:rFonts w:ascii="Corbel" w:hAnsi="Corbel"/>
      <w:sz w:val="21"/>
      <w:szCs w:val="21"/>
    </w:rPr>
  </w:style>
  <w:style w:type="paragraph" w:styleId="Footer">
    <w:name w:val="footer"/>
    <w:basedOn w:val="Normal"/>
    <w:link w:val="FooterChar"/>
    <w:uiPriority w:val="99"/>
    <w:unhideWhenUsed/>
    <w:rsid w:val="002B590E"/>
    <w:pPr>
      <w:tabs>
        <w:tab w:val="center" w:pos="4680"/>
        <w:tab w:val="right" w:pos="9360"/>
      </w:tabs>
    </w:pPr>
  </w:style>
  <w:style w:type="character" w:customStyle="1" w:styleId="FooterChar">
    <w:name w:val="Footer Char"/>
    <w:basedOn w:val="DefaultParagraphFont"/>
    <w:link w:val="Footer"/>
    <w:uiPriority w:val="99"/>
    <w:rsid w:val="002B590E"/>
    <w:rPr>
      <w:rFonts w:ascii="Corbel" w:hAnsi="Corbel"/>
      <w:sz w:val="21"/>
      <w:szCs w:val="21"/>
    </w:rPr>
  </w:style>
  <w:style w:type="character" w:styleId="CommentReference">
    <w:name w:val="annotation reference"/>
    <w:basedOn w:val="DefaultParagraphFont"/>
    <w:uiPriority w:val="99"/>
    <w:semiHidden/>
    <w:unhideWhenUsed/>
    <w:rsid w:val="002B590E"/>
    <w:rPr>
      <w:sz w:val="16"/>
      <w:szCs w:val="16"/>
    </w:rPr>
  </w:style>
  <w:style w:type="paragraph" w:styleId="CommentText">
    <w:name w:val="annotation text"/>
    <w:basedOn w:val="Normal"/>
    <w:link w:val="CommentTextChar"/>
    <w:uiPriority w:val="99"/>
    <w:unhideWhenUsed/>
    <w:rsid w:val="002B590E"/>
    <w:rPr>
      <w:sz w:val="20"/>
      <w:szCs w:val="20"/>
    </w:rPr>
  </w:style>
  <w:style w:type="character" w:customStyle="1" w:styleId="CommentTextChar">
    <w:name w:val="Comment Text Char"/>
    <w:basedOn w:val="DefaultParagraphFont"/>
    <w:link w:val="CommentText"/>
    <w:uiPriority w:val="99"/>
    <w:rsid w:val="002B590E"/>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2B590E"/>
    <w:rPr>
      <w:b/>
      <w:bCs/>
    </w:rPr>
  </w:style>
  <w:style w:type="character" w:customStyle="1" w:styleId="CommentSubjectChar">
    <w:name w:val="Comment Subject Char"/>
    <w:basedOn w:val="CommentTextChar"/>
    <w:link w:val="CommentSubject"/>
    <w:uiPriority w:val="99"/>
    <w:semiHidden/>
    <w:rsid w:val="002B590E"/>
    <w:rPr>
      <w:rFonts w:ascii="Corbel" w:hAnsi="Corbel"/>
      <w:b/>
      <w:bCs/>
      <w:sz w:val="20"/>
      <w:szCs w:val="20"/>
    </w:rPr>
  </w:style>
  <w:style w:type="paragraph" w:styleId="BalloonText">
    <w:name w:val="Balloon Text"/>
    <w:basedOn w:val="Normal"/>
    <w:link w:val="BalloonTextChar"/>
    <w:uiPriority w:val="99"/>
    <w:semiHidden/>
    <w:unhideWhenUsed/>
    <w:rsid w:val="002B5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0E"/>
    <w:rPr>
      <w:rFonts w:ascii="Segoe UI" w:hAnsi="Segoe UI" w:cs="Segoe UI"/>
      <w:sz w:val="18"/>
      <w:szCs w:val="18"/>
    </w:rPr>
  </w:style>
  <w:style w:type="paragraph" w:customStyle="1" w:styleId="Coverprompts">
    <w:name w:val="Cover prompts"/>
    <w:basedOn w:val="Normal"/>
    <w:link w:val="CoverpromptsChar"/>
    <w:qFormat/>
    <w:rsid w:val="00613178"/>
    <w:rPr>
      <w:szCs w:val="22"/>
    </w:rPr>
  </w:style>
  <w:style w:type="character" w:customStyle="1" w:styleId="CoverpromptsChar">
    <w:name w:val="Cover prompts Char"/>
    <w:basedOn w:val="DefaultParagraphFont"/>
    <w:link w:val="Coverprompts"/>
    <w:rsid w:val="00613178"/>
    <w:rPr>
      <w:rFonts w:ascii="Corbel" w:hAnsi="Corbel"/>
      <w:sz w:val="21"/>
    </w:rPr>
  </w:style>
  <w:style w:type="table" w:styleId="TableGrid">
    <w:name w:val="Table Grid"/>
    <w:basedOn w:val="TableNormal"/>
    <w:uiPriority w:val="39"/>
    <w:rsid w:val="0075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0241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semiHidden/>
    <w:unhideWhenUsed/>
    <w:rsid w:val="00D16FA3"/>
    <w:rPr>
      <w:sz w:val="20"/>
      <w:szCs w:val="20"/>
    </w:rPr>
  </w:style>
  <w:style w:type="character" w:customStyle="1" w:styleId="FootnoteTextChar">
    <w:name w:val="Footnote Text Char"/>
    <w:basedOn w:val="DefaultParagraphFont"/>
    <w:link w:val="FootnoteText"/>
    <w:uiPriority w:val="99"/>
    <w:semiHidden/>
    <w:rsid w:val="00D16FA3"/>
    <w:rPr>
      <w:rFonts w:ascii="Corbel" w:hAnsi="Corbel"/>
      <w:sz w:val="20"/>
      <w:szCs w:val="20"/>
    </w:rPr>
  </w:style>
  <w:style w:type="character" w:styleId="FootnoteReference">
    <w:name w:val="footnote reference"/>
    <w:basedOn w:val="DefaultParagraphFont"/>
    <w:uiPriority w:val="99"/>
    <w:semiHidden/>
    <w:unhideWhenUsed/>
    <w:rsid w:val="00D16FA3"/>
    <w:rPr>
      <w:vertAlign w:val="superscript"/>
    </w:rPr>
  </w:style>
  <w:style w:type="paragraph" w:styleId="NormalWeb">
    <w:name w:val="Normal (Web)"/>
    <w:basedOn w:val="Normal"/>
    <w:uiPriority w:val="99"/>
    <w:semiHidden/>
    <w:unhideWhenUsed/>
    <w:rsid w:val="00CA0419"/>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0419"/>
    <w:rPr>
      <w:b/>
      <w:bCs/>
    </w:rPr>
  </w:style>
  <w:style w:type="character" w:styleId="Hyperlink">
    <w:name w:val="Hyperlink"/>
    <w:basedOn w:val="DefaultParagraphFont"/>
    <w:uiPriority w:val="99"/>
    <w:unhideWhenUsed/>
    <w:rsid w:val="00A24D77"/>
    <w:rPr>
      <w:color w:val="0563C1" w:themeColor="hyperlink"/>
      <w:u w:val="single"/>
    </w:rPr>
  </w:style>
  <w:style w:type="character" w:styleId="UnresolvedMention">
    <w:name w:val="Unresolved Mention"/>
    <w:basedOn w:val="DefaultParagraphFont"/>
    <w:uiPriority w:val="99"/>
    <w:semiHidden/>
    <w:unhideWhenUsed/>
    <w:rsid w:val="00A24D77"/>
    <w:rPr>
      <w:color w:val="605E5C"/>
      <w:shd w:val="clear" w:color="auto" w:fill="E1DFDD"/>
    </w:rPr>
  </w:style>
  <w:style w:type="paragraph" w:styleId="Revision">
    <w:name w:val="Revision"/>
    <w:hidden/>
    <w:uiPriority w:val="99"/>
    <w:semiHidden/>
    <w:rsid w:val="009242DB"/>
    <w:rPr>
      <w:rFonts w:ascii="Corbel" w:hAnsi="Corbe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30252">
      <w:bodyDiv w:val="1"/>
      <w:marLeft w:val="0"/>
      <w:marRight w:val="0"/>
      <w:marTop w:val="0"/>
      <w:marBottom w:val="0"/>
      <w:divBdr>
        <w:top w:val="none" w:sz="0" w:space="0" w:color="auto"/>
        <w:left w:val="none" w:sz="0" w:space="0" w:color="auto"/>
        <w:bottom w:val="none" w:sz="0" w:space="0" w:color="auto"/>
        <w:right w:val="none" w:sz="0" w:space="0" w:color="auto"/>
      </w:divBdr>
    </w:div>
    <w:div w:id="17407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ademic-quality-and-policy@rhul.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Documents\Templates\RHUL%20committees\Committee%20paper%20templat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7F0A-C467-4E09-A5AC-66CE1D77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paper template v3.dotx</Template>
  <TotalTime>11</TotalTime>
  <Pages>4</Pages>
  <Words>897</Words>
  <Characters>5116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Layzell</dc:creator>
  <cp:keywords/>
  <dc:description/>
  <cp:lastModifiedBy>Hill, J W (AQPO)</cp:lastModifiedBy>
  <cp:revision>2</cp:revision>
  <cp:lastPrinted>2019-06-19T08:00:00Z</cp:lastPrinted>
  <dcterms:created xsi:type="dcterms:W3CDTF">2025-03-03T13:26:00Z</dcterms:created>
  <dcterms:modified xsi:type="dcterms:W3CDTF">2025-03-03T13:26:00Z</dcterms:modified>
</cp:coreProperties>
</file>