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5F" w:rsidRPr="0064425F" w:rsidRDefault="0064425F" w:rsidP="0064425F">
      <w:pPr>
        <w:jc w:val="center"/>
        <w:rPr>
          <w:rFonts w:ascii="Corbel" w:hAnsi="Corbel"/>
          <w:b/>
        </w:rPr>
      </w:pPr>
      <w:r w:rsidRPr="0064425F">
        <w:rPr>
          <w:rFonts w:ascii="Corbel" w:hAnsi="Corbel"/>
          <w:b/>
        </w:rPr>
        <w:t>UNDERGRADUATE REGULATIONS</w:t>
      </w:r>
    </w:p>
    <w:p w:rsidR="003C7E74" w:rsidRPr="00D31A0D" w:rsidRDefault="00FD7324" w:rsidP="00D31A0D">
      <w:pPr>
        <w:jc w:val="center"/>
        <w:rPr>
          <w:rFonts w:ascii="Corbel" w:hAnsi="Corbel"/>
          <w:b/>
        </w:rPr>
      </w:pPr>
      <w:r w:rsidRPr="00D31A0D">
        <w:rPr>
          <w:rFonts w:ascii="Corbel" w:hAnsi="Corbel"/>
          <w:b/>
        </w:rPr>
        <w:t xml:space="preserve">SUMMARY OF REGULATORY </w:t>
      </w:r>
      <w:r>
        <w:rPr>
          <w:rFonts w:ascii="Corbel" w:hAnsi="Corbel"/>
          <w:b/>
        </w:rPr>
        <w:t xml:space="preserve">AMENDMENTS </w:t>
      </w:r>
      <w:r w:rsidRPr="00D31A0D">
        <w:rPr>
          <w:rFonts w:ascii="Corbel" w:hAnsi="Corbel"/>
          <w:b/>
        </w:rPr>
        <w:t>AND/OR ADDITIONS FOR ACADEMIC YEAR 201</w:t>
      </w:r>
      <w:r>
        <w:rPr>
          <w:rFonts w:ascii="Corbel" w:hAnsi="Corbel"/>
          <w:b/>
        </w:rPr>
        <w:t>6</w:t>
      </w:r>
      <w:r w:rsidRPr="00D31A0D">
        <w:rPr>
          <w:rFonts w:ascii="Corbel" w:hAnsi="Corbel"/>
          <w:b/>
        </w:rPr>
        <w:t>/1</w:t>
      </w:r>
      <w:r>
        <w:rPr>
          <w:rFonts w:ascii="Corbel" w:hAnsi="Corbel"/>
          <w:b/>
        </w:rPr>
        <w:t>7</w:t>
      </w:r>
    </w:p>
    <w:p w:rsidR="00E502E4" w:rsidRDefault="0064425F" w:rsidP="0064425F">
      <w:pPr>
        <w:spacing w:before="120" w:after="120" w:line="240" w:lineRule="auto"/>
        <w:rPr>
          <w:rFonts w:ascii="Corbel" w:hAnsi="Corbel"/>
          <w:b/>
          <w:i/>
        </w:rPr>
      </w:pPr>
      <w:r>
        <w:rPr>
          <w:rFonts w:ascii="Corbel" w:hAnsi="Corbel"/>
          <w:b/>
          <w:i/>
        </w:rPr>
        <w:t>The wording in bold reflects the changed wording.</w:t>
      </w:r>
    </w:p>
    <w:tbl>
      <w:tblPr>
        <w:tblStyle w:val="TableGrid"/>
        <w:tblW w:w="10632" w:type="dxa"/>
        <w:tblInd w:w="-856" w:type="dxa"/>
        <w:tblLook w:val="04A0" w:firstRow="1" w:lastRow="0" w:firstColumn="1" w:lastColumn="0" w:noHBand="0" w:noVBand="1"/>
      </w:tblPr>
      <w:tblGrid>
        <w:gridCol w:w="2552"/>
        <w:gridCol w:w="6804"/>
        <w:gridCol w:w="1276"/>
      </w:tblGrid>
      <w:tr w:rsidR="000F4CAC" w:rsidRPr="00D31A0D" w:rsidTr="0064425F">
        <w:tc>
          <w:tcPr>
            <w:tcW w:w="2552" w:type="dxa"/>
            <w:shd w:val="clear" w:color="auto" w:fill="BFBFBF" w:themeFill="background1" w:themeFillShade="BF"/>
          </w:tcPr>
          <w:p w:rsidR="000F4CAC" w:rsidRPr="0064425F" w:rsidRDefault="000F4CAC" w:rsidP="0064425F">
            <w:pPr>
              <w:spacing w:before="120" w:after="120"/>
              <w:rPr>
                <w:rFonts w:ascii="Corbel" w:hAnsi="Corbel"/>
                <w:b/>
              </w:rPr>
            </w:pPr>
            <w:r w:rsidRPr="0064425F">
              <w:rPr>
                <w:rFonts w:ascii="Corbel" w:hAnsi="Corbel"/>
                <w:b/>
              </w:rPr>
              <w:t>Section number</w:t>
            </w:r>
          </w:p>
        </w:tc>
        <w:tc>
          <w:tcPr>
            <w:tcW w:w="6804" w:type="dxa"/>
            <w:shd w:val="clear" w:color="auto" w:fill="BFBFBF" w:themeFill="background1" w:themeFillShade="BF"/>
          </w:tcPr>
          <w:p w:rsidR="000F4CAC" w:rsidRPr="0064425F" w:rsidRDefault="0064425F" w:rsidP="0064425F">
            <w:pPr>
              <w:spacing w:before="120" w:after="120"/>
              <w:rPr>
                <w:rFonts w:ascii="Corbel" w:hAnsi="Corbel"/>
                <w:b/>
              </w:rPr>
            </w:pPr>
            <w:r>
              <w:rPr>
                <w:rFonts w:ascii="Corbel" w:hAnsi="Corbel"/>
                <w:b/>
              </w:rPr>
              <w:t>Relevant paragraph(s)</w:t>
            </w:r>
          </w:p>
        </w:tc>
        <w:tc>
          <w:tcPr>
            <w:tcW w:w="1276" w:type="dxa"/>
            <w:shd w:val="clear" w:color="auto" w:fill="BFBFBF" w:themeFill="background1" w:themeFillShade="BF"/>
          </w:tcPr>
          <w:p w:rsidR="000F4CAC" w:rsidRPr="0064425F" w:rsidRDefault="000F4CAC" w:rsidP="0064425F">
            <w:pPr>
              <w:spacing w:before="120" w:after="120"/>
              <w:rPr>
                <w:rFonts w:ascii="Corbel" w:hAnsi="Corbel"/>
                <w:b/>
              </w:rPr>
            </w:pPr>
            <w:r w:rsidRPr="0064425F">
              <w:rPr>
                <w:rFonts w:ascii="Corbel" w:hAnsi="Corbel"/>
                <w:b/>
              </w:rPr>
              <w:t>Page</w:t>
            </w:r>
            <w:r w:rsidR="0064425F">
              <w:rPr>
                <w:rFonts w:ascii="Corbel" w:hAnsi="Corbel"/>
                <w:b/>
              </w:rPr>
              <w:t>(s)</w:t>
            </w:r>
          </w:p>
        </w:tc>
      </w:tr>
      <w:tr w:rsidR="002B5E5C" w:rsidRPr="00D31A0D" w:rsidTr="000F4CAC">
        <w:tc>
          <w:tcPr>
            <w:tcW w:w="2552" w:type="dxa"/>
          </w:tcPr>
          <w:p w:rsidR="002B5E5C" w:rsidRPr="00D31A0D" w:rsidRDefault="00E06940" w:rsidP="0064425F">
            <w:pPr>
              <w:spacing w:before="120" w:after="120"/>
              <w:rPr>
                <w:rFonts w:ascii="Corbel" w:hAnsi="Corbel"/>
              </w:rPr>
            </w:pPr>
            <w:r w:rsidRPr="00ED2006">
              <w:rPr>
                <w:rFonts w:ascii="Corbel" w:hAnsi="Corbel"/>
              </w:rPr>
              <w:t>Section 6 (2)</w:t>
            </w:r>
          </w:p>
        </w:tc>
        <w:tc>
          <w:tcPr>
            <w:tcW w:w="6804" w:type="dxa"/>
          </w:tcPr>
          <w:p w:rsidR="0064425F" w:rsidRPr="00FD7324" w:rsidRDefault="0064425F" w:rsidP="0064425F">
            <w:pPr>
              <w:spacing w:before="120" w:after="120"/>
              <w:rPr>
                <w:rFonts w:ascii="Corbel" w:hAnsi="Corbel"/>
                <w:i/>
              </w:rPr>
            </w:pPr>
            <w:r w:rsidRPr="00FD7324">
              <w:rPr>
                <w:rFonts w:ascii="Corbel" w:hAnsi="Corbel"/>
                <w:i/>
              </w:rPr>
              <w:t>The paragraphs below have been added to reflect the possible structures of integrated Master’s</w:t>
            </w:r>
            <w:r w:rsidR="00FD7324" w:rsidRPr="00FD7324">
              <w:rPr>
                <w:rFonts w:ascii="Corbel" w:hAnsi="Corbel"/>
                <w:i/>
              </w:rPr>
              <w:t xml:space="preserve"> (MScI)</w:t>
            </w:r>
            <w:r w:rsidRPr="00FD7324">
              <w:rPr>
                <w:rFonts w:ascii="Corbel" w:hAnsi="Corbel"/>
                <w:i/>
              </w:rPr>
              <w:t xml:space="preserve"> programmes which include a year in industry.</w:t>
            </w:r>
          </w:p>
          <w:p w:rsidR="00E06940" w:rsidRDefault="00E06940" w:rsidP="0064425F">
            <w:pPr>
              <w:spacing w:before="120" w:after="120"/>
              <w:rPr>
                <w:rFonts w:ascii="Corbel" w:hAnsi="Corbel"/>
                <w:b/>
              </w:rPr>
            </w:pPr>
            <w:r w:rsidRPr="00E06940">
              <w:rPr>
                <w:rFonts w:ascii="Corbel" w:hAnsi="Corbel"/>
                <w:b/>
              </w:rPr>
              <w:t>Structure of programmes</w:t>
            </w:r>
          </w:p>
          <w:p w:rsidR="00E06940" w:rsidRPr="00ED2006" w:rsidRDefault="00E06940" w:rsidP="0064425F">
            <w:pPr>
              <w:pStyle w:val="ListParagraph"/>
              <w:numPr>
                <w:ilvl w:val="0"/>
                <w:numId w:val="6"/>
              </w:numPr>
              <w:spacing w:before="120" w:after="120"/>
              <w:ind w:left="357" w:hanging="357"/>
              <w:rPr>
                <w:rFonts w:ascii="Corbel" w:hAnsi="Corbel"/>
              </w:rPr>
            </w:pPr>
            <w:r w:rsidRPr="00ED2006">
              <w:rPr>
                <w:rFonts w:ascii="Corbel" w:hAnsi="Corbel"/>
              </w:rPr>
              <w:t xml:space="preserve">Programmes leading to the award of MSci are aligned with the Framework for Higher Education Qualifications (FHEQ) level descriptors and are delivered in </w:t>
            </w:r>
            <w:r w:rsidRPr="00ED2006">
              <w:rPr>
                <w:rFonts w:ascii="Corbel" w:hAnsi="Corbel"/>
                <w:b/>
              </w:rPr>
              <w:t>either</w:t>
            </w:r>
            <w:r w:rsidRPr="00ED2006">
              <w:rPr>
                <w:rFonts w:ascii="Corbel" w:hAnsi="Corbel"/>
              </w:rPr>
              <w:t xml:space="preserve"> </w:t>
            </w:r>
          </w:p>
          <w:p w:rsidR="00E06940" w:rsidRDefault="00E06940" w:rsidP="0064425F">
            <w:pPr>
              <w:pStyle w:val="ListParagraph"/>
              <w:spacing w:before="120" w:after="120"/>
              <w:ind w:left="1080"/>
              <w:contextualSpacing w:val="0"/>
              <w:rPr>
                <w:rFonts w:ascii="Corbel" w:hAnsi="Corbel"/>
              </w:rPr>
            </w:pPr>
          </w:p>
          <w:p w:rsidR="00E06940" w:rsidRPr="00ED2006" w:rsidRDefault="00E06940" w:rsidP="0064425F">
            <w:pPr>
              <w:pStyle w:val="ListParagraph"/>
              <w:numPr>
                <w:ilvl w:val="0"/>
                <w:numId w:val="5"/>
              </w:numPr>
              <w:spacing w:before="120" w:after="120"/>
              <w:contextualSpacing w:val="0"/>
              <w:rPr>
                <w:rFonts w:ascii="Corbel" w:hAnsi="Corbel"/>
              </w:rPr>
            </w:pPr>
            <w:r w:rsidRPr="00ED2006">
              <w:rPr>
                <w:rFonts w:ascii="Corbel" w:hAnsi="Corbel"/>
              </w:rPr>
              <w:t>four stages, each comprising courses to the value of 120 credits, the third stage including courses to the value of at least 90 credits at FHEQ Level 6 and having none below FHEQ Level 5, and the fourth stage including courses to the value of at least 90 credits at FHEQ Level 7 and having none below FHEQ Level 6; or</w:t>
            </w:r>
            <w:r>
              <w:rPr>
                <w:rFonts w:ascii="Corbel" w:hAnsi="Corbel"/>
              </w:rPr>
              <w:t xml:space="preserve"> in one of (b) or (c);</w:t>
            </w:r>
          </w:p>
          <w:p w:rsidR="00E06940" w:rsidRDefault="00E06940" w:rsidP="0064425F">
            <w:pPr>
              <w:pStyle w:val="ListParagraph"/>
              <w:numPr>
                <w:ilvl w:val="0"/>
                <w:numId w:val="5"/>
              </w:numPr>
              <w:spacing w:before="120" w:after="120"/>
              <w:rPr>
                <w:rFonts w:ascii="Corbel" w:hAnsi="Corbel"/>
                <w:b/>
              </w:rPr>
            </w:pPr>
            <w:r w:rsidRPr="00ED2006">
              <w:rPr>
                <w:rFonts w:ascii="Corbel" w:hAnsi="Corbel"/>
              </w:rPr>
              <w:t xml:space="preserve"> </w:t>
            </w:r>
            <w:r w:rsidRPr="00ED2006">
              <w:rPr>
                <w:rFonts w:ascii="Corbel" w:hAnsi="Corbel"/>
                <w:b/>
              </w:rPr>
              <w:t>five stages, each comprising courses to the value of 120 credits, except the fourth stage which is devoted to extramural study and comprises 30 credits which  for the purposes of the  award classification are counted in the  fifth and final s</w:t>
            </w:r>
            <w:r>
              <w:rPr>
                <w:rFonts w:ascii="Corbel" w:hAnsi="Corbel"/>
                <w:b/>
              </w:rPr>
              <w:t xml:space="preserve">tage. The third stage includes </w:t>
            </w:r>
            <w:r w:rsidRPr="00ED2006">
              <w:rPr>
                <w:rFonts w:ascii="Corbel" w:hAnsi="Corbel"/>
                <w:b/>
              </w:rPr>
              <w:t>courses to the value of at least 90 credits at FHEQ Level 6 and having none below FHEQ Level 5, and the fifth and final stage includes courses to the value of at least 90 credits at FHEQ Level 7 and</w:t>
            </w:r>
            <w:r>
              <w:rPr>
                <w:rFonts w:ascii="Corbel" w:hAnsi="Corbel"/>
                <w:b/>
              </w:rPr>
              <w:t xml:space="preserve"> having none below FHEQ Level 6; </w:t>
            </w:r>
          </w:p>
          <w:p w:rsidR="002B5E5C" w:rsidRDefault="00E06940" w:rsidP="0064425F">
            <w:pPr>
              <w:pStyle w:val="ListParagraph"/>
              <w:numPr>
                <w:ilvl w:val="0"/>
                <w:numId w:val="5"/>
              </w:numPr>
              <w:spacing w:before="120" w:after="120"/>
              <w:rPr>
                <w:rFonts w:ascii="Corbel" w:hAnsi="Corbel"/>
                <w:b/>
              </w:rPr>
            </w:pPr>
            <w:r w:rsidRPr="00ED2006">
              <w:rPr>
                <w:rFonts w:ascii="Corbel" w:hAnsi="Corbel"/>
                <w:b/>
              </w:rPr>
              <w:t xml:space="preserve">five stages, each comprising courses to the value of 120 credits, except the </w:t>
            </w:r>
            <w:r>
              <w:rPr>
                <w:rFonts w:ascii="Corbel" w:hAnsi="Corbel"/>
                <w:b/>
              </w:rPr>
              <w:t xml:space="preserve">third </w:t>
            </w:r>
            <w:r w:rsidRPr="00ED2006">
              <w:rPr>
                <w:rFonts w:ascii="Corbel" w:hAnsi="Corbel"/>
                <w:b/>
              </w:rPr>
              <w:t xml:space="preserve">stage which is devoted to extramural study and comprises 30 credits which  for the purposes of the  award classification are counted in the  </w:t>
            </w:r>
            <w:r>
              <w:rPr>
                <w:rFonts w:ascii="Corbel" w:hAnsi="Corbel"/>
                <w:b/>
              </w:rPr>
              <w:t xml:space="preserve">(penultimate) fourth stage. The fourth stage includes </w:t>
            </w:r>
            <w:r w:rsidRPr="00ED2006">
              <w:rPr>
                <w:rFonts w:ascii="Corbel" w:hAnsi="Corbel"/>
                <w:b/>
              </w:rPr>
              <w:t>courses to the value of at least 90 credits at FHEQ Level 6 and having none below FHEQ Level 5, and the fifth and final stage includes courses to the value of at least 90 credits at FHEQ Level 7 and</w:t>
            </w:r>
            <w:r>
              <w:rPr>
                <w:rFonts w:ascii="Corbel" w:hAnsi="Corbel"/>
                <w:b/>
              </w:rPr>
              <w:t xml:space="preserve"> having none below FHEQ Level 6.</w:t>
            </w:r>
          </w:p>
        </w:tc>
        <w:tc>
          <w:tcPr>
            <w:tcW w:w="1276" w:type="dxa"/>
          </w:tcPr>
          <w:p w:rsidR="00A72975" w:rsidRPr="00D31A0D" w:rsidRDefault="005D4AD5" w:rsidP="0064425F">
            <w:pPr>
              <w:spacing w:before="120" w:after="120"/>
              <w:jc w:val="center"/>
              <w:rPr>
                <w:rFonts w:ascii="Corbel" w:hAnsi="Corbel"/>
              </w:rPr>
            </w:pPr>
            <w:r>
              <w:rPr>
                <w:rFonts w:ascii="Corbel" w:hAnsi="Corbel"/>
              </w:rPr>
              <w:t>6-7</w:t>
            </w:r>
          </w:p>
        </w:tc>
      </w:tr>
      <w:tr w:rsidR="005D4AD5" w:rsidRPr="00D31A0D" w:rsidTr="000F4CAC">
        <w:tc>
          <w:tcPr>
            <w:tcW w:w="2552" w:type="dxa"/>
          </w:tcPr>
          <w:p w:rsidR="005D4AD5" w:rsidRDefault="005D4AD5" w:rsidP="0064425F">
            <w:pPr>
              <w:spacing w:before="120" w:after="120"/>
              <w:rPr>
                <w:rFonts w:ascii="Corbel" w:hAnsi="Corbel"/>
              </w:rPr>
            </w:pPr>
            <w:r>
              <w:rPr>
                <w:rFonts w:ascii="Corbel" w:hAnsi="Corbel"/>
              </w:rPr>
              <w:t>Section 8 (3 and 4)</w:t>
            </w:r>
          </w:p>
        </w:tc>
        <w:tc>
          <w:tcPr>
            <w:tcW w:w="6804" w:type="dxa"/>
          </w:tcPr>
          <w:p w:rsidR="005D4AD5" w:rsidRPr="00FD7324" w:rsidRDefault="005D4AD5" w:rsidP="005D4AD5">
            <w:pPr>
              <w:spacing w:before="120" w:after="120"/>
              <w:rPr>
                <w:rFonts w:ascii="Corbel" w:hAnsi="Corbel"/>
                <w:i/>
              </w:rPr>
            </w:pPr>
            <w:r w:rsidRPr="00FD7324">
              <w:rPr>
                <w:rFonts w:ascii="Corbel" w:hAnsi="Corbel"/>
                <w:i/>
              </w:rPr>
              <w:t>The following two paragraphs have been added to Section 8 to clarify whether moving to a new programme counts as a first or second attempt and that students who cannot continue on their current programme can transfer to another in the following academic year.</w:t>
            </w:r>
          </w:p>
          <w:p w:rsidR="005D4AD5" w:rsidRPr="00B148E9" w:rsidRDefault="005D4AD5" w:rsidP="005D4AD5">
            <w:pPr>
              <w:spacing w:before="120" w:after="120"/>
              <w:rPr>
                <w:rFonts w:ascii="Corbel" w:hAnsi="Corbel"/>
                <w:b/>
              </w:rPr>
            </w:pPr>
            <w:r w:rsidRPr="00B148E9">
              <w:rPr>
                <w:rFonts w:ascii="Corbel" w:hAnsi="Corbel"/>
                <w:b/>
              </w:rPr>
              <w:t>Transfer of programme</w:t>
            </w:r>
          </w:p>
          <w:p w:rsidR="005D4AD5" w:rsidRPr="005D4AD5" w:rsidRDefault="005D4AD5" w:rsidP="005D4AD5">
            <w:pPr>
              <w:pStyle w:val="ListParagraph"/>
              <w:numPr>
                <w:ilvl w:val="0"/>
                <w:numId w:val="6"/>
              </w:numPr>
              <w:ind w:left="357" w:hanging="357"/>
              <w:rPr>
                <w:rFonts w:ascii="Corbel" w:hAnsi="Corbel"/>
              </w:rPr>
            </w:pPr>
            <w:r w:rsidRPr="005D4AD5">
              <w:rPr>
                <w:rFonts w:ascii="Corbel" w:hAnsi="Corbel"/>
              </w:rPr>
              <w:t xml:space="preserve">A student who does not satisfy the requirements of paragraphs (1) (a </w:t>
            </w:r>
            <w:r w:rsidRPr="005D4AD5">
              <w:rPr>
                <w:rFonts w:ascii="Corbel" w:hAnsi="Corbel"/>
              </w:rPr>
              <w:lastRenderedPageBreak/>
              <w:t>and b) above may transfer to another programme of study, with the approval of the department(s) or school(s) concerned, and the Academic Registrar and repeat the stage with a different diet of courses with a view to meeting the requirements at the end of the year. Where credits from the previous attempt at the stage are carried over the repeat will count as a second attempt at the stage. Where no credits from the previous attempt at the stage are carried over, the repeat will count as a first attempt at the stage.</w:t>
            </w:r>
            <w:r w:rsidRPr="005D4AD5" w:rsidDel="005A6C50">
              <w:rPr>
                <w:rFonts w:ascii="Corbel" w:hAnsi="Corbel"/>
              </w:rPr>
              <w:t xml:space="preserve"> </w:t>
            </w:r>
          </w:p>
          <w:p w:rsidR="005D4AD5" w:rsidRPr="00F952BC" w:rsidRDefault="005D4AD5" w:rsidP="005D4AD5">
            <w:pPr>
              <w:pStyle w:val="ListParagraph"/>
              <w:rPr>
                <w:rFonts w:ascii="Corbel" w:hAnsi="Corbel"/>
              </w:rPr>
            </w:pPr>
          </w:p>
          <w:p w:rsidR="005D4AD5" w:rsidRDefault="005D4AD5" w:rsidP="005D4AD5">
            <w:pPr>
              <w:pStyle w:val="ListParagraph"/>
              <w:numPr>
                <w:ilvl w:val="0"/>
                <w:numId w:val="6"/>
              </w:numPr>
              <w:ind w:left="357" w:hanging="357"/>
              <w:rPr>
                <w:rFonts w:ascii="Corbel" w:hAnsi="Corbel"/>
              </w:rPr>
            </w:pPr>
            <w:r w:rsidRPr="005D4AD5">
              <w:rPr>
                <w:rFonts w:ascii="Corbel" w:hAnsi="Corbel"/>
              </w:rPr>
              <w:t>A student who is not permitted to continue with his/her programme of studies on academic grounds, may be given permission to transfer, in the next academic year, to a similar or an entirely different programme of study in the College at the discretion of the relevant department(s)/ school(s) and subject to the provisions in paragraphs (1-2) above and any others set by the relevant department(s)/school(s).</w:t>
            </w:r>
          </w:p>
          <w:p w:rsidR="00FD7324" w:rsidRPr="00FD7324" w:rsidRDefault="00FD7324" w:rsidP="00FD7324">
            <w:pPr>
              <w:rPr>
                <w:rFonts w:ascii="Corbel" w:hAnsi="Corbel"/>
              </w:rPr>
            </w:pPr>
          </w:p>
        </w:tc>
        <w:tc>
          <w:tcPr>
            <w:tcW w:w="1276" w:type="dxa"/>
          </w:tcPr>
          <w:p w:rsidR="005D4AD5" w:rsidRDefault="005D4AD5" w:rsidP="0064425F">
            <w:pPr>
              <w:spacing w:before="120" w:after="120"/>
              <w:jc w:val="center"/>
              <w:rPr>
                <w:rFonts w:ascii="Corbel" w:hAnsi="Corbel"/>
              </w:rPr>
            </w:pPr>
            <w:r>
              <w:rPr>
                <w:rFonts w:ascii="Corbel" w:hAnsi="Corbel"/>
              </w:rPr>
              <w:lastRenderedPageBreak/>
              <w:t>9</w:t>
            </w:r>
          </w:p>
        </w:tc>
      </w:tr>
      <w:tr w:rsidR="00E06940" w:rsidRPr="00D31A0D" w:rsidTr="000F4CAC">
        <w:tc>
          <w:tcPr>
            <w:tcW w:w="2552" w:type="dxa"/>
          </w:tcPr>
          <w:p w:rsidR="00E06940" w:rsidRDefault="005D4AD5" w:rsidP="0064425F">
            <w:pPr>
              <w:spacing w:before="120" w:after="120"/>
              <w:rPr>
                <w:rFonts w:ascii="Corbel" w:hAnsi="Corbel"/>
              </w:rPr>
            </w:pPr>
            <w:r>
              <w:rPr>
                <w:rFonts w:ascii="Corbel" w:hAnsi="Corbel"/>
              </w:rPr>
              <w:t>Section 13 (5</w:t>
            </w:r>
            <w:r w:rsidR="00E06940">
              <w:rPr>
                <w:rFonts w:ascii="Corbel" w:hAnsi="Corbel"/>
              </w:rPr>
              <w:t>)</w:t>
            </w:r>
          </w:p>
        </w:tc>
        <w:tc>
          <w:tcPr>
            <w:tcW w:w="6804" w:type="dxa"/>
          </w:tcPr>
          <w:p w:rsidR="005D4AD5" w:rsidRPr="00FD7324" w:rsidRDefault="005D4AD5" w:rsidP="005D4AD5">
            <w:pPr>
              <w:spacing w:before="120" w:after="120"/>
              <w:rPr>
                <w:rFonts w:ascii="Corbel" w:hAnsi="Corbel" w:cs="Arial"/>
                <w:i/>
                <w:lang w:eastAsia="en-GB"/>
              </w:rPr>
            </w:pPr>
            <w:r w:rsidRPr="00FD7324">
              <w:rPr>
                <w:rFonts w:ascii="Corbel" w:hAnsi="Corbel" w:cs="Arial"/>
                <w:i/>
                <w:lang w:eastAsia="en-GB"/>
              </w:rPr>
              <w:t>The paragraph pertaining to the penalties for over length work has been amended as indicated below:</w:t>
            </w:r>
          </w:p>
          <w:p w:rsidR="005D4AD5" w:rsidRPr="005D4AD5" w:rsidRDefault="005D4AD5" w:rsidP="005D4AD5">
            <w:pPr>
              <w:spacing w:before="120" w:after="120"/>
              <w:rPr>
                <w:rFonts w:ascii="Corbel" w:hAnsi="Corbel" w:cs="Arial"/>
                <w:b/>
                <w:lang w:eastAsia="en-GB"/>
              </w:rPr>
            </w:pPr>
            <w:r w:rsidRPr="005D4AD5">
              <w:rPr>
                <w:rFonts w:ascii="Corbel" w:hAnsi="Corbel" w:cs="Arial"/>
                <w:b/>
                <w:lang w:eastAsia="en-GB"/>
              </w:rPr>
              <w:t>Outcomes of course assessment</w:t>
            </w:r>
          </w:p>
          <w:p w:rsidR="00E06940" w:rsidRPr="005D4AD5" w:rsidRDefault="00E06940" w:rsidP="005D4AD5">
            <w:pPr>
              <w:pStyle w:val="ListParagraph"/>
              <w:numPr>
                <w:ilvl w:val="0"/>
                <w:numId w:val="11"/>
              </w:numPr>
              <w:spacing w:before="120" w:after="120"/>
              <w:ind w:left="357" w:hanging="357"/>
              <w:rPr>
                <w:rFonts w:ascii="Corbel" w:hAnsi="Corbel" w:cs="Arial"/>
                <w:lang w:eastAsia="en-GB"/>
              </w:rPr>
            </w:pPr>
            <w:r w:rsidRPr="005D4AD5">
              <w:rPr>
                <w:rFonts w:ascii="Corbel" w:hAnsi="Corbel" w:cs="Arial"/>
                <w:lang w:eastAsia="en-GB"/>
              </w:rPr>
              <w:t>Work which exceeds the upper word limit set will be penalised as follows:</w:t>
            </w:r>
          </w:p>
          <w:p w:rsidR="00E06940" w:rsidRPr="00082001" w:rsidRDefault="00E06940" w:rsidP="0064425F">
            <w:pPr>
              <w:pStyle w:val="ListParagraph"/>
              <w:spacing w:before="120" w:after="120"/>
              <w:ind w:left="357"/>
              <w:rPr>
                <w:rFonts w:ascii="Corbel" w:hAnsi="Corbel" w:cs="Arial"/>
                <w:lang w:eastAsia="en-GB"/>
              </w:rPr>
            </w:pPr>
          </w:p>
          <w:p w:rsidR="00E06940" w:rsidRPr="00FD32E9" w:rsidRDefault="00E06940" w:rsidP="0064425F">
            <w:pPr>
              <w:pStyle w:val="ListParagraph"/>
              <w:numPr>
                <w:ilvl w:val="0"/>
                <w:numId w:val="8"/>
              </w:numPr>
              <w:spacing w:before="120" w:after="120"/>
              <w:rPr>
                <w:rFonts w:ascii="Corbel" w:hAnsi="Corbel"/>
              </w:rPr>
            </w:pPr>
            <w:r w:rsidRPr="00FD32E9">
              <w:rPr>
                <w:rFonts w:ascii="Corbel" w:hAnsi="Corbel"/>
              </w:rPr>
              <w:t>For work which exceeds the upper word limit by up to 10%</w:t>
            </w:r>
            <w:r w:rsidRPr="00FD32E9">
              <w:rPr>
                <w:rFonts w:ascii="Corbel" w:hAnsi="Corbel"/>
                <w:strike/>
              </w:rPr>
              <w:t>,</w:t>
            </w:r>
            <w:r w:rsidRPr="00FD32E9">
              <w:rPr>
                <w:rFonts w:ascii="Corbel" w:hAnsi="Corbel"/>
              </w:rPr>
              <w:t xml:space="preserve"> the mark will be reduced by </w:t>
            </w:r>
            <w:r w:rsidRPr="00E73D57">
              <w:rPr>
                <w:rFonts w:ascii="Corbel" w:hAnsi="Corbel"/>
                <w:b/>
              </w:rPr>
              <w:t xml:space="preserve">ten percent of the mark </w:t>
            </w:r>
            <w:r>
              <w:rPr>
                <w:rFonts w:ascii="Corbel" w:hAnsi="Corbel"/>
                <w:b/>
              </w:rPr>
              <w:t xml:space="preserve">initially </w:t>
            </w:r>
            <w:r w:rsidRPr="00E73D57">
              <w:rPr>
                <w:rFonts w:ascii="Corbel" w:hAnsi="Corbel"/>
                <w:b/>
              </w:rPr>
              <w:t>awarded</w:t>
            </w:r>
            <w:r w:rsidRPr="00FD32E9">
              <w:rPr>
                <w:rFonts w:ascii="Corbel" w:hAnsi="Corbel"/>
              </w:rPr>
              <w:t xml:space="preserve">; </w:t>
            </w:r>
          </w:p>
          <w:p w:rsidR="00E06940" w:rsidRDefault="00E06940" w:rsidP="0064425F">
            <w:pPr>
              <w:pStyle w:val="ListParagraph"/>
              <w:numPr>
                <w:ilvl w:val="0"/>
                <w:numId w:val="8"/>
              </w:numPr>
              <w:spacing w:before="120" w:after="120"/>
              <w:rPr>
                <w:rFonts w:ascii="Corbel" w:hAnsi="Corbel"/>
              </w:rPr>
            </w:pPr>
            <w:r w:rsidRPr="00FD32E9">
              <w:rPr>
                <w:rFonts w:ascii="Corbel" w:hAnsi="Corbel"/>
              </w:rPr>
              <w:t>For work which exceeds the upper word limit by more than 10% but less than 20%, the mark</w:t>
            </w:r>
            <w:r>
              <w:rPr>
                <w:rFonts w:ascii="Corbel" w:hAnsi="Corbel"/>
              </w:rPr>
              <w:t xml:space="preserve"> </w:t>
            </w:r>
            <w:r w:rsidRPr="00FD32E9">
              <w:rPr>
                <w:rFonts w:ascii="Corbel" w:hAnsi="Corbel"/>
              </w:rPr>
              <w:t xml:space="preserve">will be reduced by </w:t>
            </w:r>
            <w:r w:rsidRPr="00E73D57">
              <w:rPr>
                <w:rFonts w:ascii="Corbel" w:hAnsi="Corbel"/>
                <w:b/>
              </w:rPr>
              <w:t xml:space="preserve">twenty percent of the </w:t>
            </w:r>
            <w:r w:rsidRPr="00290818">
              <w:rPr>
                <w:rFonts w:ascii="Corbel" w:hAnsi="Corbel"/>
                <w:b/>
              </w:rPr>
              <w:t>mark initially awarded</w:t>
            </w:r>
            <w:r>
              <w:rPr>
                <w:rFonts w:ascii="Corbel" w:hAnsi="Corbel"/>
                <w:b/>
              </w:rPr>
              <w:t>;</w:t>
            </w:r>
            <w:r>
              <w:rPr>
                <w:rFonts w:ascii="Corbel" w:hAnsi="Corbel"/>
              </w:rPr>
              <w:t xml:space="preserve"> </w:t>
            </w:r>
          </w:p>
          <w:p w:rsidR="00E06940" w:rsidRPr="00B71BD9" w:rsidRDefault="00E06940" w:rsidP="0064425F">
            <w:pPr>
              <w:pStyle w:val="ListParagraph"/>
              <w:numPr>
                <w:ilvl w:val="0"/>
                <w:numId w:val="8"/>
              </w:numPr>
              <w:spacing w:before="120" w:after="120"/>
              <w:rPr>
                <w:rFonts w:ascii="Corbel" w:hAnsi="Corbel"/>
              </w:rPr>
            </w:pPr>
            <w:r w:rsidRPr="00B71BD9">
              <w:rPr>
                <w:rFonts w:ascii="Corbel" w:hAnsi="Corbel"/>
                <w:b/>
              </w:rPr>
              <w:t>For work which exceeds the upper word limit by more than 20%,</w:t>
            </w:r>
            <w:r w:rsidRPr="00B71BD9">
              <w:rPr>
                <w:rFonts w:ascii="Corbel" w:hAnsi="Corbel"/>
              </w:rPr>
              <w:t xml:space="preserve"> </w:t>
            </w:r>
            <w:r w:rsidRPr="00B71BD9">
              <w:rPr>
                <w:rFonts w:ascii="Corbel" w:hAnsi="Corbel"/>
                <w:b/>
              </w:rPr>
              <w:t>the mark will be reduced by thirty percent of the mark initially awarded.</w:t>
            </w:r>
          </w:p>
        </w:tc>
        <w:tc>
          <w:tcPr>
            <w:tcW w:w="1276" w:type="dxa"/>
          </w:tcPr>
          <w:p w:rsidR="00E06940" w:rsidRPr="00D31A0D" w:rsidRDefault="005D4AD5" w:rsidP="0064425F">
            <w:pPr>
              <w:spacing w:before="120" w:after="120"/>
              <w:jc w:val="center"/>
              <w:rPr>
                <w:rFonts w:ascii="Corbel" w:hAnsi="Corbel"/>
              </w:rPr>
            </w:pPr>
            <w:r>
              <w:rPr>
                <w:rFonts w:ascii="Corbel" w:hAnsi="Corbel"/>
              </w:rPr>
              <w:t>15</w:t>
            </w:r>
          </w:p>
        </w:tc>
      </w:tr>
      <w:tr w:rsidR="00E06940" w:rsidRPr="00D31A0D" w:rsidTr="000F4CAC">
        <w:tc>
          <w:tcPr>
            <w:tcW w:w="2552" w:type="dxa"/>
          </w:tcPr>
          <w:p w:rsidR="00E06940" w:rsidRDefault="00E06940" w:rsidP="0064425F">
            <w:pPr>
              <w:spacing w:before="120" w:after="120"/>
              <w:rPr>
                <w:rFonts w:ascii="Corbel" w:hAnsi="Corbel"/>
              </w:rPr>
            </w:pPr>
            <w:r>
              <w:rPr>
                <w:rFonts w:ascii="Corbel" w:hAnsi="Corbel"/>
              </w:rPr>
              <w:t>Section 20 (2)</w:t>
            </w:r>
          </w:p>
        </w:tc>
        <w:tc>
          <w:tcPr>
            <w:tcW w:w="6804" w:type="dxa"/>
          </w:tcPr>
          <w:p w:rsidR="005D4AD5" w:rsidRDefault="005D4AD5" w:rsidP="005D4AD5">
            <w:pPr>
              <w:spacing w:before="120" w:after="120"/>
              <w:rPr>
                <w:rFonts w:ascii="Corbel" w:hAnsi="Corbel"/>
              </w:rPr>
            </w:pPr>
            <w:r>
              <w:rPr>
                <w:rFonts w:ascii="Corbel" w:hAnsi="Corbel"/>
              </w:rPr>
              <w:t>The following amendments have been made to the requirements at the final stage for the awards of joint and combined undergraduate  degrees.</w:t>
            </w:r>
          </w:p>
          <w:p w:rsidR="005D4AD5" w:rsidRPr="005D4AD5" w:rsidRDefault="005D4AD5" w:rsidP="0064425F">
            <w:pPr>
              <w:spacing w:before="120" w:after="120"/>
              <w:ind w:left="357" w:hanging="357"/>
              <w:rPr>
                <w:rFonts w:ascii="Corbel" w:hAnsi="Corbel"/>
                <w:b/>
              </w:rPr>
            </w:pPr>
            <w:r w:rsidRPr="005D4AD5">
              <w:rPr>
                <w:rFonts w:ascii="Corbel" w:hAnsi="Corbel"/>
                <w:b/>
              </w:rPr>
              <w:t>Field of study</w:t>
            </w:r>
            <w:r w:rsidR="00E06940" w:rsidRPr="005D4AD5">
              <w:rPr>
                <w:rFonts w:ascii="Corbel" w:hAnsi="Corbel"/>
                <w:b/>
              </w:rPr>
              <w:t xml:space="preserve"> </w:t>
            </w:r>
          </w:p>
          <w:p w:rsidR="00E06940" w:rsidRPr="007E68DE" w:rsidRDefault="00E06940" w:rsidP="0064425F">
            <w:pPr>
              <w:spacing w:before="120" w:after="120"/>
              <w:ind w:left="357" w:hanging="357"/>
              <w:rPr>
                <w:rFonts w:ascii="Corbel" w:hAnsi="Corbel"/>
              </w:rPr>
            </w:pPr>
            <w:r w:rsidRPr="007E68DE">
              <w:rPr>
                <w:rFonts w:ascii="Corbel" w:hAnsi="Corbel"/>
              </w:rPr>
              <w:t>(2)  Except where a single subject is appropriate, and save for any provision made in the programme specification, the subjects named in the field of study shall be determined as follows:</w:t>
            </w:r>
          </w:p>
          <w:p w:rsidR="00E06940" w:rsidRPr="007E68DE" w:rsidRDefault="00E06940" w:rsidP="0064425F">
            <w:pPr>
              <w:spacing w:before="120" w:after="120"/>
              <w:ind w:left="714" w:hanging="357"/>
              <w:rPr>
                <w:rFonts w:ascii="Corbel" w:hAnsi="Corbel"/>
                <w:b/>
              </w:rPr>
            </w:pPr>
            <w:r w:rsidRPr="007E68DE">
              <w:rPr>
                <w:rFonts w:ascii="Corbel" w:hAnsi="Corbel"/>
              </w:rPr>
              <w:t xml:space="preserve">(a)   the conjunction ‘and’ will be used where two subjects studied have approximately equal importance and each subject constitutes at least one third of the </w:t>
            </w:r>
            <w:r w:rsidRPr="007E68DE">
              <w:rPr>
                <w:rFonts w:ascii="Corbel" w:hAnsi="Corbel"/>
                <w:b/>
              </w:rPr>
              <w:t>credits passed overall, including a minimum of 30 credits in the final stage and at Level 6 or minimum of 30 credits in the final stage at Level 7 in the case of the MSci;</w:t>
            </w:r>
          </w:p>
          <w:p w:rsidR="00E06940" w:rsidRPr="007E68DE" w:rsidRDefault="00E06940" w:rsidP="0064425F">
            <w:pPr>
              <w:spacing w:before="120" w:after="120"/>
              <w:ind w:left="714" w:hanging="357"/>
              <w:rPr>
                <w:rFonts w:ascii="Corbel" w:hAnsi="Corbel"/>
                <w:b/>
              </w:rPr>
            </w:pPr>
            <w:r w:rsidRPr="007E68DE">
              <w:rPr>
                <w:rFonts w:ascii="Corbel" w:hAnsi="Corbel"/>
              </w:rPr>
              <w:t xml:space="preserve">(b)  the conjunction ‘with’ will be used where a major subject, constituting at least half of the courses passed overall, has been </w:t>
            </w:r>
            <w:r w:rsidRPr="007E68DE">
              <w:rPr>
                <w:rFonts w:ascii="Corbel" w:hAnsi="Corbel"/>
              </w:rPr>
              <w:lastRenderedPageBreak/>
              <w:t>taken with an essential supporting subject, constituting at least one quarter, but less than one third of the courses passed overall</w:t>
            </w:r>
            <w:r w:rsidRPr="007E68DE">
              <w:rPr>
                <w:rFonts w:ascii="Corbel" w:hAnsi="Corbel"/>
                <w:b/>
              </w:rPr>
              <w:t xml:space="preserve"> including a minimum of 30 credits in the final stage and at Level 6 or minimum of 30 credits in the final stage at Level 7 in the case of the MSci;</w:t>
            </w:r>
          </w:p>
          <w:p w:rsidR="00E06940" w:rsidRPr="00472088" w:rsidRDefault="00E06940" w:rsidP="00FD7324">
            <w:pPr>
              <w:spacing w:before="120" w:after="120"/>
              <w:ind w:left="714" w:hanging="357"/>
              <w:rPr>
                <w:rFonts w:ascii="Corbel" w:hAnsi="Corbel"/>
                <w:b/>
              </w:rPr>
            </w:pPr>
            <w:r w:rsidRPr="007E68DE">
              <w:rPr>
                <w:rFonts w:ascii="Corbel" w:hAnsi="Corbel"/>
              </w:rPr>
              <w:t>(c) comprehensive titles may be used where appropriate.</w:t>
            </w:r>
          </w:p>
        </w:tc>
        <w:tc>
          <w:tcPr>
            <w:tcW w:w="1276" w:type="dxa"/>
          </w:tcPr>
          <w:p w:rsidR="00E06940" w:rsidRPr="00D31A0D" w:rsidRDefault="007560DA" w:rsidP="0064425F">
            <w:pPr>
              <w:spacing w:before="120" w:after="120"/>
              <w:jc w:val="center"/>
              <w:rPr>
                <w:rFonts w:ascii="Corbel" w:hAnsi="Corbel"/>
              </w:rPr>
            </w:pPr>
            <w:r>
              <w:rPr>
                <w:rFonts w:ascii="Corbel" w:hAnsi="Corbel"/>
              </w:rPr>
              <w:lastRenderedPageBreak/>
              <w:t>26</w:t>
            </w:r>
          </w:p>
        </w:tc>
      </w:tr>
      <w:tr w:rsidR="0064425F" w:rsidRPr="00D31A0D" w:rsidTr="000F4CAC">
        <w:tc>
          <w:tcPr>
            <w:tcW w:w="2552" w:type="dxa"/>
          </w:tcPr>
          <w:p w:rsidR="0064425F" w:rsidRPr="00B148E9" w:rsidRDefault="0064425F" w:rsidP="007560DA">
            <w:pPr>
              <w:spacing w:before="120" w:after="120"/>
              <w:rPr>
                <w:rFonts w:ascii="Corbel" w:hAnsi="Corbel"/>
              </w:rPr>
            </w:pPr>
            <w:r w:rsidRPr="00B148E9">
              <w:rPr>
                <w:rFonts w:ascii="Corbel" w:hAnsi="Corbel"/>
              </w:rPr>
              <w:t xml:space="preserve">Sections </w:t>
            </w:r>
            <w:r w:rsidR="007560DA">
              <w:rPr>
                <w:rFonts w:ascii="Corbel" w:hAnsi="Corbel"/>
              </w:rPr>
              <w:t>23 (3) and 24</w:t>
            </w:r>
          </w:p>
        </w:tc>
        <w:tc>
          <w:tcPr>
            <w:tcW w:w="6804" w:type="dxa"/>
          </w:tcPr>
          <w:p w:rsidR="0064425F" w:rsidRPr="00FD7324" w:rsidRDefault="0064425F" w:rsidP="0064425F">
            <w:pPr>
              <w:tabs>
                <w:tab w:val="left" w:pos="851"/>
              </w:tabs>
              <w:spacing w:before="120" w:after="120"/>
              <w:rPr>
                <w:rFonts w:ascii="Corbel" w:hAnsi="Corbel"/>
                <w:i/>
              </w:rPr>
            </w:pPr>
            <w:r w:rsidRPr="00FD7324">
              <w:rPr>
                <w:rFonts w:ascii="Corbel" w:hAnsi="Corbel"/>
                <w:i/>
              </w:rPr>
              <w:t>The f</w:t>
            </w:r>
            <w:r w:rsidR="007560DA" w:rsidRPr="00FD7324">
              <w:rPr>
                <w:rFonts w:ascii="Corbel" w:hAnsi="Corbel"/>
                <w:i/>
              </w:rPr>
              <w:t>ollowing paragraph in Section 23</w:t>
            </w:r>
            <w:r w:rsidRPr="00FD7324">
              <w:rPr>
                <w:rFonts w:ascii="Corbel" w:hAnsi="Corbel"/>
                <w:i/>
              </w:rPr>
              <w:t xml:space="preserve"> has been amended to reiterate the point made in Section 10 (2) about students on Tier 4</w:t>
            </w:r>
            <w:r w:rsidR="007560DA" w:rsidRPr="00FD7324">
              <w:rPr>
                <w:rFonts w:ascii="Corbel" w:hAnsi="Corbel"/>
                <w:i/>
              </w:rPr>
              <w:t xml:space="preserve"> visas. The whole of Section 24</w:t>
            </w:r>
            <w:r w:rsidRPr="00FD7324">
              <w:rPr>
                <w:rFonts w:ascii="Corbel" w:hAnsi="Corbel"/>
                <w:i/>
              </w:rPr>
              <w:t>: Formal Warning procedure has been rewritten to remove some of the detail on steps to be followed in issuing formal warnings. The process remains the same.</w:t>
            </w:r>
          </w:p>
          <w:p w:rsidR="0064425F" w:rsidRPr="00B148E9" w:rsidRDefault="0064425F" w:rsidP="0064425F">
            <w:pPr>
              <w:tabs>
                <w:tab w:val="left" w:pos="851"/>
              </w:tabs>
              <w:spacing w:before="120" w:after="120"/>
              <w:rPr>
                <w:rFonts w:ascii="Corbel" w:hAnsi="Corbel"/>
                <w:b/>
              </w:rPr>
            </w:pPr>
            <w:r w:rsidRPr="00B148E9">
              <w:rPr>
                <w:rFonts w:ascii="Corbel" w:hAnsi="Corbel"/>
                <w:b/>
              </w:rPr>
              <w:t>Academic grounds for termination of registration</w:t>
            </w:r>
          </w:p>
          <w:p w:rsidR="0064425F" w:rsidRPr="004C0C5D" w:rsidRDefault="0064425F" w:rsidP="004C0C5D">
            <w:pPr>
              <w:pStyle w:val="ListParagraph"/>
              <w:numPr>
                <w:ilvl w:val="0"/>
                <w:numId w:val="14"/>
              </w:numPr>
              <w:tabs>
                <w:tab w:val="left" w:pos="851"/>
              </w:tabs>
              <w:spacing w:before="120" w:after="120"/>
              <w:ind w:left="357" w:hanging="357"/>
              <w:rPr>
                <w:rFonts w:ascii="Corbel" w:hAnsi="Corbel"/>
                <w:b/>
              </w:rPr>
            </w:pPr>
            <w:bookmarkStart w:id="0" w:name="_GoBack"/>
            <w:bookmarkEnd w:id="0"/>
            <w:r w:rsidRPr="004C0C5D">
              <w:rPr>
                <w:rFonts w:ascii="Corbel" w:hAnsi="Corbel"/>
              </w:rPr>
              <w:t xml:space="preserve">A Head of Department or School may make a recommendation to a Vice-Principal to terminate a student’s registration for a programme on any of the grounds set out in paragraph (1) (c – e) above, in the absence of a satisfactory and adequately documented reason for the failure(s). In such cases the Head of Department or School will follow the formal warning procedure set out in Section 17 of these regulations. </w:t>
            </w:r>
            <w:r w:rsidRPr="004C0C5D">
              <w:rPr>
                <w:rFonts w:ascii="Corbel" w:hAnsi="Corbel"/>
                <w:b/>
              </w:rPr>
              <w:t>For students holding a Tier 4 (General) Student Visa, the College has obligations placed on it to report non-attendance to  UK Visas and Immigration and may terminate a student’s registration without following the formal warning procedure.</w:t>
            </w:r>
          </w:p>
        </w:tc>
        <w:tc>
          <w:tcPr>
            <w:tcW w:w="1276" w:type="dxa"/>
          </w:tcPr>
          <w:p w:rsidR="0064425F" w:rsidRPr="00B148E9" w:rsidRDefault="007560DA" w:rsidP="0064425F">
            <w:pPr>
              <w:spacing w:before="120" w:after="120"/>
              <w:jc w:val="center"/>
              <w:rPr>
                <w:rFonts w:ascii="Corbel" w:hAnsi="Corbel"/>
              </w:rPr>
            </w:pPr>
            <w:r>
              <w:rPr>
                <w:rFonts w:ascii="Corbel" w:hAnsi="Corbel"/>
              </w:rPr>
              <w:t>27 and 27-28</w:t>
            </w:r>
          </w:p>
          <w:p w:rsidR="0064425F" w:rsidRPr="00B148E9" w:rsidRDefault="0064425F" w:rsidP="0064425F">
            <w:pPr>
              <w:spacing w:before="120" w:after="120"/>
              <w:jc w:val="center"/>
              <w:rPr>
                <w:rFonts w:ascii="Corbel" w:hAnsi="Corbel"/>
              </w:rPr>
            </w:pPr>
          </w:p>
        </w:tc>
      </w:tr>
    </w:tbl>
    <w:p w:rsidR="000F4CAC" w:rsidRPr="00D31A0D" w:rsidRDefault="000F4CAC" w:rsidP="00C3215C">
      <w:pPr>
        <w:rPr>
          <w:rFonts w:ascii="Corbel" w:hAnsi="Corbel"/>
        </w:rPr>
      </w:pPr>
    </w:p>
    <w:sectPr w:rsidR="000F4CAC" w:rsidRPr="00D31A0D" w:rsidSect="00C953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37" w:rsidRDefault="000E2637" w:rsidP="000E2637">
      <w:pPr>
        <w:spacing w:after="0" w:line="240" w:lineRule="auto"/>
      </w:pPr>
      <w:r>
        <w:separator/>
      </w:r>
    </w:p>
  </w:endnote>
  <w:endnote w:type="continuationSeparator" w:id="0">
    <w:p w:rsidR="000E2637" w:rsidRDefault="000E2637" w:rsidP="000E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07" w:rsidRDefault="008A3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98" w:rsidRPr="00D41A98" w:rsidRDefault="00D41A98" w:rsidP="00D41A98">
    <w:pPr>
      <w:pStyle w:val="Footer"/>
      <w:jc w:val="right"/>
      <w:rPr>
        <w:rFonts w:ascii="Corbel" w:hAnsi="Corbel"/>
        <w:b/>
      </w:rPr>
    </w:pPr>
    <w:r w:rsidRPr="00D41A98">
      <w:rPr>
        <w:rFonts w:ascii="Corbel" w:hAnsi="Corbel"/>
        <w:b/>
      </w:rPr>
      <w:t>Summary of changes – Undergraduate Regulations 2016/17</w:t>
    </w:r>
  </w:p>
  <w:sdt>
    <w:sdtPr>
      <w:rPr>
        <w:b/>
      </w:rPr>
      <w:id w:val="1953352322"/>
      <w:docPartObj>
        <w:docPartGallery w:val="Page Numbers (Bottom of Page)"/>
        <w:docPartUnique/>
      </w:docPartObj>
    </w:sdtPr>
    <w:sdtEndPr>
      <w:rPr>
        <w:noProof/>
      </w:rPr>
    </w:sdtEndPr>
    <w:sdtContent>
      <w:p w:rsidR="00D41A98" w:rsidRPr="00D41A98" w:rsidRDefault="008E4F81">
        <w:pPr>
          <w:pStyle w:val="Footer"/>
          <w:jc w:val="right"/>
          <w:rPr>
            <w:b/>
            <w:noProof/>
          </w:rPr>
        </w:pPr>
        <w:r w:rsidRPr="00D41A98">
          <w:rPr>
            <w:b/>
          </w:rPr>
          <w:fldChar w:fldCharType="begin"/>
        </w:r>
        <w:r w:rsidR="008A3D07" w:rsidRPr="00D41A98">
          <w:rPr>
            <w:b/>
          </w:rPr>
          <w:instrText xml:space="preserve"> PAGE   \* MERGEFORMAT </w:instrText>
        </w:r>
        <w:r w:rsidRPr="00D41A98">
          <w:rPr>
            <w:b/>
          </w:rPr>
          <w:fldChar w:fldCharType="separate"/>
        </w:r>
        <w:r w:rsidR="004C0C5D">
          <w:rPr>
            <w:b/>
            <w:noProof/>
          </w:rPr>
          <w:t>1</w:t>
        </w:r>
        <w:r w:rsidRPr="00D41A98">
          <w:rPr>
            <w:b/>
            <w:noProof/>
          </w:rPr>
          <w:fldChar w:fldCharType="end"/>
        </w:r>
      </w:p>
      <w:p w:rsidR="008A3D07" w:rsidRDefault="004C0C5D">
        <w:pPr>
          <w:pStyle w:val="Footer"/>
          <w:jc w:val="right"/>
        </w:pPr>
      </w:p>
    </w:sdtContent>
  </w:sdt>
  <w:p w:rsidR="000E2637" w:rsidRDefault="000E2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07" w:rsidRDefault="008A3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37" w:rsidRDefault="000E2637" w:rsidP="000E2637">
      <w:pPr>
        <w:spacing w:after="0" w:line="240" w:lineRule="auto"/>
      </w:pPr>
      <w:r>
        <w:separator/>
      </w:r>
    </w:p>
  </w:footnote>
  <w:footnote w:type="continuationSeparator" w:id="0">
    <w:p w:rsidR="000E2637" w:rsidRDefault="000E2637" w:rsidP="000E2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07" w:rsidRDefault="008A3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07" w:rsidRDefault="008A3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07" w:rsidRDefault="008A3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E4F"/>
    <w:multiLevelType w:val="hybridMultilevel"/>
    <w:tmpl w:val="AAD8B5B2"/>
    <w:lvl w:ilvl="0" w:tplc="A058C9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35F2A"/>
    <w:multiLevelType w:val="hybridMultilevel"/>
    <w:tmpl w:val="1BF04B70"/>
    <w:lvl w:ilvl="0" w:tplc="ED1C0040">
      <w:start w:val="1"/>
      <w:numFmt w:val="decimal"/>
      <w:lvlText w:val="(%1)"/>
      <w:lvlJc w:val="left"/>
      <w:pPr>
        <w:ind w:left="720" w:hanging="360"/>
      </w:pPr>
      <w:rPr>
        <w:rFonts w:hint="default"/>
      </w:rPr>
    </w:lvl>
    <w:lvl w:ilvl="1" w:tplc="AE0ED244">
      <w:start w:val="1"/>
      <w:numFmt w:val="lowerLetter"/>
      <w:lvlText w:val="(%2)"/>
      <w:lvlJc w:val="left"/>
      <w:pPr>
        <w:ind w:left="1440" w:hanging="360"/>
      </w:pPr>
      <w:rPr>
        <w:rFonts w:hint="default"/>
      </w:rPr>
    </w:lvl>
    <w:lvl w:ilvl="2" w:tplc="E5EC1DF4">
      <w:start w:val="13"/>
      <w:numFmt w:val="decimal"/>
      <w:lvlText w:val="%3."/>
      <w:lvlJc w:val="left"/>
      <w:pPr>
        <w:ind w:left="2340" w:hanging="360"/>
      </w:pPr>
      <w:rPr>
        <w:rFonts w:hint="default"/>
      </w:rPr>
    </w:lvl>
    <w:lvl w:ilvl="3" w:tplc="B39016C0">
      <w:start w:val="120"/>
      <w:numFmt w:val="decimal"/>
      <w:lvlText w:val="(%4"/>
      <w:lvlJc w:val="left"/>
      <w:pPr>
        <w:ind w:left="2955" w:hanging="435"/>
      </w:pPr>
      <w:rPr>
        <w:rFonts w:hint="default"/>
      </w:rPr>
    </w:lvl>
    <w:lvl w:ilvl="4" w:tplc="DF3C7FE6">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F43D3"/>
    <w:multiLevelType w:val="hybridMultilevel"/>
    <w:tmpl w:val="17F0A410"/>
    <w:lvl w:ilvl="0" w:tplc="FDEA8A0A">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11C64"/>
    <w:multiLevelType w:val="hybridMultilevel"/>
    <w:tmpl w:val="3B5EFCD6"/>
    <w:lvl w:ilvl="0" w:tplc="209421F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E6719"/>
    <w:multiLevelType w:val="hybridMultilevel"/>
    <w:tmpl w:val="BEC4EBEA"/>
    <w:lvl w:ilvl="0" w:tplc="D64CB60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C51459"/>
    <w:multiLevelType w:val="hybridMultilevel"/>
    <w:tmpl w:val="A8FC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379DA"/>
    <w:multiLevelType w:val="hybridMultilevel"/>
    <w:tmpl w:val="AAE45A98"/>
    <w:lvl w:ilvl="0" w:tplc="866AFB7E">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05DBF"/>
    <w:multiLevelType w:val="hybridMultilevel"/>
    <w:tmpl w:val="64521A68"/>
    <w:lvl w:ilvl="0" w:tplc="6F5A4F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635E5A"/>
    <w:multiLevelType w:val="hybridMultilevel"/>
    <w:tmpl w:val="BA70EC1A"/>
    <w:lvl w:ilvl="0" w:tplc="C936AF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364C3"/>
    <w:multiLevelType w:val="hybridMultilevel"/>
    <w:tmpl w:val="F13291FE"/>
    <w:lvl w:ilvl="0" w:tplc="772EBC8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826D4"/>
    <w:multiLevelType w:val="hybridMultilevel"/>
    <w:tmpl w:val="E814F874"/>
    <w:lvl w:ilvl="0" w:tplc="22E6126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E547EF"/>
    <w:multiLevelType w:val="hybridMultilevel"/>
    <w:tmpl w:val="B312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161F8"/>
    <w:multiLevelType w:val="hybridMultilevel"/>
    <w:tmpl w:val="DBA286DA"/>
    <w:lvl w:ilvl="0" w:tplc="7702EC0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12C59"/>
    <w:multiLevelType w:val="hybridMultilevel"/>
    <w:tmpl w:val="05C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13"/>
  </w:num>
  <w:num w:numId="5">
    <w:abstractNumId w:val="7"/>
  </w:num>
  <w:num w:numId="6">
    <w:abstractNumId w:val="9"/>
  </w:num>
  <w:num w:numId="7">
    <w:abstractNumId w:val="10"/>
  </w:num>
  <w:num w:numId="8">
    <w:abstractNumId w:val="8"/>
  </w:num>
  <w:num w:numId="9">
    <w:abstractNumId w:val="2"/>
  </w:num>
  <w:num w:numId="10">
    <w:abstractNumId w:val="0"/>
  </w:num>
  <w:num w:numId="11">
    <w:abstractNumId w:val="4"/>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F4CAC"/>
    <w:rsid w:val="0008269E"/>
    <w:rsid w:val="00086D5C"/>
    <w:rsid w:val="000E2637"/>
    <w:rsid w:val="000E6F17"/>
    <w:rsid w:val="000F4CAC"/>
    <w:rsid w:val="00287193"/>
    <w:rsid w:val="002B5E5C"/>
    <w:rsid w:val="002D6B51"/>
    <w:rsid w:val="002E4A87"/>
    <w:rsid w:val="00330C5B"/>
    <w:rsid w:val="003A720E"/>
    <w:rsid w:val="003C7E74"/>
    <w:rsid w:val="003F5BBC"/>
    <w:rsid w:val="00451FE6"/>
    <w:rsid w:val="00472088"/>
    <w:rsid w:val="004C0C5D"/>
    <w:rsid w:val="005B2EBA"/>
    <w:rsid w:val="005D4AD5"/>
    <w:rsid w:val="005E0E89"/>
    <w:rsid w:val="006174F5"/>
    <w:rsid w:val="0064425F"/>
    <w:rsid w:val="00686DCD"/>
    <w:rsid w:val="007560DA"/>
    <w:rsid w:val="00760749"/>
    <w:rsid w:val="007A01BA"/>
    <w:rsid w:val="007C7A9B"/>
    <w:rsid w:val="007D5D68"/>
    <w:rsid w:val="00810686"/>
    <w:rsid w:val="00884E2D"/>
    <w:rsid w:val="008A3D07"/>
    <w:rsid w:val="008E4F81"/>
    <w:rsid w:val="009047EE"/>
    <w:rsid w:val="00930DF6"/>
    <w:rsid w:val="00997C05"/>
    <w:rsid w:val="009D7E25"/>
    <w:rsid w:val="00A036D8"/>
    <w:rsid w:val="00A72975"/>
    <w:rsid w:val="00A73480"/>
    <w:rsid w:val="00AB680A"/>
    <w:rsid w:val="00B22047"/>
    <w:rsid w:val="00C3215C"/>
    <w:rsid w:val="00C775B2"/>
    <w:rsid w:val="00C95399"/>
    <w:rsid w:val="00C97916"/>
    <w:rsid w:val="00CC7856"/>
    <w:rsid w:val="00D300FC"/>
    <w:rsid w:val="00D31A0D"/>
    <w:rsid w:val="00D41A98"/>
    <w:rsid w:val="00D44EEA"/>
    <w:rsid w:val="00E06940"/>
    <w:rsid w:val="00E502E4"/>
    <w:rsid w:val="00F053E3"/>
    <w:rsid w:val="00F40569"/>
    <w:rsid w:val="00F643CB"/>
    <w:rsid w:val="00F87ED2"/>
    <w:rsid w:val="00FD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0BE0FC-AE88-4491-B2D4-97469B48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5B2"/>
    <w:pPr>
      <w:ind w:left="720"/>
      <w:contextualSpacing/>
    </w:pPr>
  </w:style>
  <w:style w:type="paragraph" w:styleId="BalloonText">
    <w:name w:val="Balloon Text"/>
    <w:basedOn w:val="Normal"/>
    <w:link w:val="BalloonTextChar"/>
    <w:uiPriority w:val="99"/>
    <w:semiHidden/>
    <w:unhideWhenUsed/>
    <w:rsid w:val="0033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5B"/>
    <w:rPr>
      <w:rFonts w:ascii="Tahoma" w:hAnsi="Tahoma" w:cs="Tahoma"/>
      <w:sz w:val="16"/>
      <w:szCs w:val="16"/>
    </w:rPr>
  </w:style>
  <w:style w:type="paragraph" w:styleId="Header">
    <w:name w:val="header"/>
    <w:basedOn w:val="Normal"/>
    <w:link w:val="HeaderChar"/>
    <w:uiPriority w:val="99"/>
    <w:unhideWhenUsed/>
    <w:rsid w:val="000E2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637"/>
  </w:style>
  <w:style w:type="paragraph" w:styleId="Footer">
    <w:name w:val="footer"/>
    <w:basedOn w:val="Normal"/>
    <w:link w:val="FooterChar"/>
    <w:uiPriority w:val="99"/>
    <w:unhideWhenUsed/>
    <w:rsid w:val="000E2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Munton, Clare</dc:creator>
  <cp:lastModifiedBy>Beck, Marina</cp:lastModifiedBy>
  <cp:revision>9</cp:revision>
  <cp:lastPrinted>2015-07-31T13:06:00Z</cp:lastPrinted>
  <dcterms:created xsi:type="dcterms:W3CDTF">2016-06-06T08:23:00Z</dcterms:created>
  <dcterms:modified xsi:type="dcterms:W3CDTF">2016-07-11T08:20:00Z</dcterms:modified>
</cp:coreProperties>
</file>