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18" w:rsidRPr="00B148E9" w:rsidRDefault="00BC6C91" w:rsidP="00497EA4">
      <w:pPr>
        <w:spacing w:before="120" w:after="120" w:line="240" w:lineRule="auto"/>
        <w:jc w:val="center"/>
        <w:rPr>
          <w:rFonts w:ascii="Corbel" w:hAnsi="Corbel"/>
          <w:b/>
        </w:rPr>
      </w:pPr>
      <w:r>
        <w:rPr>
          <w:rFonts w:ascii="Corbel" w:hAnsi="Corbel"/>
          <w:b/>
        </w:rPr>
        <w:t>CODE OF PRACTICE FOR RESEARCH DEGREE STUDENTS AND SUPERVISORS</w:t>
      </w:r>
    </w:p>
    <w:p w:rsidR="007C1BC3" w:rsidRPr="00B148E9" w:rsidRDefault="00E01418" w:rsidP="00497EA4">
      <w:pPr>
        <w:spacing w:before="120" w:after="120" w:line="240" w:lineRule="auto"/>
        <w:jc w:val="center"/>
        <w:rPr>
          <w:rFonts w:ascii="Corbel" w:hAnsi="Corbel"/>
          <w:b/>
        </w:rPr>
      </w:pPr>
      <w:r w:rsidRPr="00B148E9">
        <w:rPr>
          <w:rFonts w:ascii="Corbel" w:hAnsi="Corbel"/>
          <w:b/>
        </w:rPr>
        <w:t>SUMMARY OF AMENDMENTS AND/OR ADDITIONS FOR ACADEMIC YEAR 2016/17</w:t>
      </w:r>
      <w:r w:rsidRPr="00B148E9">
        <w:rPr>
          <w:rFonts w:ascii="Corbel" w:hAnsi="Corbel"/>
          <w:b/>
          <w:i/>
        </w:rPr>
        <w:t xml:space="preserve"> </w:t>
      </w:r>
    </w:p>
    <w:p w:rsidR="00A74903" w:rsidRPr="00B148E9" w:rsidRDefault="00A74903" w:rsidP="00497EA4">
      <w:pPr>
        <w:spacing w:before="120" w:after="120" w:line="240" w:lineRule="auto"/>
        <w:rPr>
          <w:rFonts w:ascii="Corbel" w:hAnsi="Corbel"/>
          <w:b/>
          <w:i/>
        </w:rPr>
      </w:pPr>
      <w:r w:rsidRPr="00B148E9">
        <w:rPr>
          <w:rFonts w:ascii="Corbel" w:hAnsi="Corbel"/>
          <w:b/>
          <w:i/>
        </w:rPr>
        <w:t xml:space="preserve">The wording in bold reflects the </w:t>
      </w:r>
      <w:r w:rsidR="00E01418" w:rsidRPr="00B148E9">
        <w:rPr>
          <w:rFonts w:ascii="Corbel" w:hAnsi="Corbel"/>
          <w:b/>
          <w:i/>
        </w:rPr>
        <w:t>amended</w:t>
      </w:r>
      <w:r w:rsidRPr="00B148E9">
        <w:rPr>
          <w:rFonts w:ascii="Corbel" w:hAnsi="Corbel"/>
          <w:b/>
          <w:i/>
        </w:rPr>
        <w:t xml:space="preserve"> wording</w:t>
      </w:r>
    </w:p>
    <w:tbl>
      <w:tblPr>
        <w:tblStyle w:val="TableGrid"/>
        <w:tblW w:w="10632" w:type="dxa"/>
        <w:tblInd w:w="-856" w:type="dxa"/>
        <w:tblLook w:val="04A0"/>
      </w:tblPr>
      <w:tblGrid>
        <w:gridCol w:w="2552"/>
        <w:gridCol w:w="6804"/>
        <w:gridCol w:w="1276"/>
      </w:tblGrid>
      <w:tr w:rsidR="007C1BC3" w:rsidRPr="00B148E9" w:rsidTr="001A385B">
        <w:tc>
          <w:tcPr>
            <w:tcW w:w="2552" w:type="dxa"/>
            <w:shd w:val="clear" w:color="auto" w:fill="BFBFBF" w:themeFill="background1" w:themeFillShade="BF"/>
          </w:tcPr>
          <w:p w:rsidR="007C1BC3" w:rsidRPr="00B148E9" w:rsidRDefault="007C1BC3" w:rsidP="00497EA4">
            <w:pPr>
              <w:spacing w:before="120" w:after="120"/>
              <w:rPr>
                <w:rFonts w:ascii="Corbel" w:hAnsi="Corbel"/>
                <w:b/>
              </w:rPr>
            </w:pPr>
            <w:r w:rsidRPr="00B148E9">
              <w:rPr>
                <w:rFonts w:ascii="Corbel" w:hAnsi="Corbel"/>
                <w:b/>
              </w:rPr>
              <w:t>Section number</w:t>
            </w:r>
          </w:p>
        </w:tc>
        <w:tc>
          <w:tcPr>
            <w:tcW w:w="6804" w:type="dxa"/>
            <w:shd w:val="clear" w:color="auto" w:fill="BFBFBF" w:themeFill="background1" w:themeFillShade="BF"/>
          </w:tcPr>
          <w:p w:rsidR="007C1BC3" w:rsidRPr="00B148E9" w:rsidRDefault="00E01418" w:rsidP="00497EA4">
            <w:pPr>
              <w:spacing w:before="120" w:after="120"/>
              <w:rPr>
                <w:rFonts w:ascii="Corbel" w:hAnsi="Corbel"/>
                <w:b/>
              </w:rPr>
            </w:pPr>
            <w:r w:rsidRPr="00B148E9">
              <w:rPr>
                <w:rFonts w:ascii="Corbel" w:hAnsi="Corbel"/>
                <w:b/>
              </w:rPr>
              <w:t>Relevant paragraph</w:t>
            </w:r>
            <w:r w:rsidR="00F96092" w:rsidRPr="00B148E9">
              <w:rPr>
                <w:rFonts w:ascii="Corbel" w:hAnsi="Corbel"/>
                <w:b/>
              </w:rPr>
              <w:t>(</w:t>
            </w:r>
            <w:r w:rsidRPr="00B148E9">
              <w:rPr>
                <w:rFonts w:ascii="Corbel" w:hAnsi="Corbel"/>
                <w:b/>
              </w:rPr>
              <w:t>s</w:t>
            </w:r>
            <w:r w:rsidR="00F96092" w:rsidRPr="00B148E9">
              <w:rPr>
                <w:rFonts w:ascii="Corbel" w:hAnsi="Corbel"/>
                <w:b/>
              </w:rPr>
              <w:t>)</w:t>
            </w:r>
          </w:p>
        </w:tc>
        <w:tc>
          <w:tcPr>
            <w:tcW w:w="1276" w:type="dxa"/>
            <w:shd w:val="clear" w:color="auto" w:fill="BFBFBF" w:themeFill="background1" w:themeFillShade="BF"/>
          </w:tcPr>
          <w:p w:rsidR="007C1BC3" w:rsidRPr="00B148E9" w:rsidRDefault="007C1BC3" w:rsidP="00497EA4">
            <w:pPr>
              <w:spacing w:before="120" w:after="120"/>
              <w:jc w:val="center"/>
              <w:rPr>
                <w:rFonts w:ascii="Corbel" w:hAnsi="Corbel"/>
                <w:b/>
              </w:rPr>
            </w:pPr>
            <w:r w:rsidRPr="00B148E9">
              <w:rPr>
                <w:rFonts w:ascii="Corbel" w:hAnsi="Corbel"/>
                <w:b/>
              </w:rPr>
              <w:t>Page</w:t>
            </w:r>
            <w:r w:rsidR="00DF1E7D" w:rsidRPr="00B148E9">
              <w:rPr>
                <w:rFonts w:ascii="Corbel" w:hAnsi="Corbel"/>
                <w:b/>
              </w:rPr>
              <w:t xml:space="preserve"> (s)</w:t>
            </w:r>
          </w:p>
        </w:tc>
      </w:tr>
      <w:tr w:rsidR="005D2B00" w:rsidRPr="00B148E9" w:rsidTr="001A385B">
        <w:tc>
          <w:tcPr>
            <w:tcW w:w="2552" w:type="dxa"/>
          </w:tcPr>
          <w:p w:rsidR="005D2B00" w:rsidRPr="00B148E9" w:rsidRDefault="00A475BD" w:rsidP="00497EA4">
            <w:pPr>
              <w:spacing w:before="120" w:after="120"/>
              <w:rPr>
                <w:rFonts w:ascii="Corbel" w:hAnsi="Corbel"/>
              </w:rPr>
            </w:pPr>
            <w:r>
              <w:rPr>
                <w:rFonts w:ascii="Corbel" w:hAnsi="Corbel"/>
              </w:rPr>
              <w:t>N/A</w:t>
            </w:r>
          </w:p>
        </w:tc>
        <w:tc>
          <w:tcPr>
            <w:tcW w:w="6804" w:type="dxa"/>
          </w:tcPr>
          <w:p w:rsidR="00BC6C91" w:rsidRDefault="00BC6C91" w:rsidP="00497EA4">
            <w:pPr>
              <w:ind w:left="357" w:hanging="357"/>
              <w:rPr>
                <w:rFonts w:ascii="Corbel" w:hAnsi="Corbel"/>
                <w:i/>
              </w:rPr>
            </w:pPr>
            <w:r>
              <w:rPr>
                <w:rFonts w:ascii="Corbel" w:hAnsi="Corbel"/>
              </w:rPr>
              <w:t xml:space="preserve">The </w:t>
            </w:r>
            <w:r w:rsidR="007C6AB6">
              <w:rPr>
                <w:rFonts w:ascii="Corbel" w:hAnsi="Corbel"/>
              </w:rPr>
              <w:t xml:space="preserve">title of the Code has been changed from </w:t>
            </w:r>
            <w:r>
              <w:rPr>
                <w:rFonts w:ascii="Corbel" w:hAnsi="Corbel"/>
                <w:i/>
              </w:rPr>
              <w:t xml:space="preserve">Code of Practice for the </w:t>
            </w:r>
          </w:p>
          <w:p w:rsidR="00334EC4" w:rsidRDefault="00BC6C91" w:rsidP="00497EA4">
            <w:pPr>
              <w:ind w:left="357" w:hanging="357"/>
              <w:rPr>
                <w:rFonts w:ascii="Corbel" w:hAnsi="Corbel"/>
                <w:b/>
                <w:i/>
              </w:rPr>
            </w:pPr>
            <w:r>
              <w:rPr>
                <w:rFonts w:ascii="Corbel" w:hAnsi="Corbel"/>
                <w:i/>
              </w:rPr>
              <w:t xml:space="preserve">Academic Welfare of Research Degree Students </w:t>
            </w:r>
            <w:r>
              <w:rPr>
                <w:rFonts w:ascii="Corbel" w:hAnsi="Corbel"/>
              </w:rPr>
              <w:t xml:space="preserve">to the </w:t>
            </w:r>
            <w:r w:rsidRPr="00334EC4">
              <w:rPr>
                <w:rFonts w:ascii="Corbel" w:hAnsi="Corbel"/>
                <w:b/>
                <w:i/>
              </w:rPr>
              <w:t xml:space="preserve">Code of Practice </w:t>
            </w:r>
          </w:p>
          <w:p w:rsidR="00334EC4" w:rsidRDefault="00BC6C91" w:rsidP="00497EA4">
            <w:pPr>
              <w:ind w:left="357" w:hanging="357"/>
              <w:rPr>
                <w:rFonts w:ascii="Corbel" w:hAnsi="Corbel"/>
              </w:rPr>
            </w:pPr>
            <w:r w:rsidRPr="00334EC4">
              <w:rPr>
                <w:rFonts w:ascii="Corbel" w:hAnsi="Corbel"/>
                <w:b/>
                <w:i/>
              </w:rPr>
              <w:t>for Research Degree Students and Supervisors</w:t>
            </w:r>
            <w:r>
              <w:rPr>
                <w:rFonts w:ascii="Corbel" w:hAnsi="Corbel"/>
              </w:rPr>
              <w:t xml:space="preserve">. The change of title </w:t>
            </w:r>
          </w:p>
          <w:p w:rsidR="00334EC4" w:rsidRDefault="00BC6C91" w:rsidP="00497EA4">
            <w:pPr>
              <w:ind w:left="357" w:hanging="357"/>
              <w:rPr>
                <w:rFonts w:ascii="Corbel" w:hAnsi="Corbel"/>
              </w:rPr>
            </w:pPr>
            <w:r>
              <w:rPr>
                <w:rFonts w:ascii="Corbel" w:hAnsi="Corbel"/>
              </w:rPr>
              <w:t xml:space="preserve">reflects the broader focus of the Code beyond academic welfare and the </w:t>
            </w:r>
          </w:p>
          <w:p w:rsidR="00334EC4" w:rsidRDefault="00BC6C91" w:rsidP="00497EA4">
            <w:pPr>
              <w:ind w:left="357" w:hanging="357"/>
              <w:rPr>
                <w:rFonts w:ascii="Corbel" w:hAnsi="Corbel"/>
              </w:rPr>
            </w:pPr>
            <w:r>
              <w:rPr>
                <w:rFonts w:ascii="Corbel" w:hAnsi="Corbel"/>
              </w:rPr>
              <w:t xml:space="preserve">fact that the expectations within are applicable to both students </w:t>
            </w:r>
          </w:p>
          <w:p w:rsidR="00FA5408" w:rsidRDefault="00BC6C91" w:rsidP="00497EA4">
            <w:pPr>
              <w:ind w:left="357" w:hanging="357"/>
              <w:rPr>
                <w:rFonts w:ascii="Corbel" w:hAnsi="Corbel"/>
              </w:rPr>
            </w:pPr>
            <w:proofErr w:type="gramStart"/>
            <w:r>
              <w:rPr>
                <w:rFonts w:ascii="Corbel" w:hAnsi="Corbel"/>
              </w:rPr>
              <w:t>and</w:t>
            </w:r>
            <w:proofErr w:type="gramEnd"/>
            <w:r>
              <w:rPr>
                <w:rFonts w:ascii="Corbel" w:hAnsi="Corbel"/>
              </w:rPr>
              <w:t xml:space="preserve"> supervisors.</w:t>
            </w:r>
          </w:p>
          <w:p w:rsidR="00497EA4" w:rsidRPr="00497EA4" w:rsidRDefault="00497EA4" w:rsidP="00497EA4">
            <w:pPr>
              <w:ind w:left="357" w:hanging="357"/>
              <w:rPr>
                <w:rFonts w:ascii="Corbel" w:hAnsi="Corbel"/>
              </w:rPr>
            </w:pPr>
          </w:p>
        </w:tc>
        <w:tc>
          <w:tcPr>
            <w:tcW w:w="1276" w:type="dxa"/>
          </w:tcPr>
          <w:p w:rsidR="005D2B00" w:rsidRPr="00B148E9" w:rsidRDefault="00E41B99" w:rsidP="00497EA4">
            <w:pPr>
              <w:spacing w:before="120" w:after="120"/>
              <w:jc w:val="center"/>
              <w:rPr>
                <w:rFonts w:ascii="Corbel" w:hAnsi="Corbel"/>
              </w:rPr>
            </w:pPr>
            <w:r>
              <w:rPr>
                <w:rFonts w:ascii="Corbel" w:hAnsi="Corbel"/>
              </w:rPr>
              <w:t>1</w:t>
            </w:r>
          </w:p>
        </w:tc>
      </w:tr>
      <w:tr w:rsidR="00E41B99" w:rsidRPr="00B148E9" w:rsidTr="001A385B">
        <w:tc>
          <w:tcPr>
            <w:tcW w:w="2552" w:type="dxa"/>
          </w:tcPr>
          <w:p w:rsidR="00E41B99" w:rsidRDefault="004B6B5E" w:rsidP="00497EA4">
            <w:pPr>
              <w:spacing w:before="120" w:after="120"/>
              <w:rPr>
                <w:rFonts w:ascii="Corbel" w:hAnsi="Corbel"/>
              </w:rPr>
            </w:pPr>
            <w:r>
              <w:rPr>
                <w:rFonts w:ascii="Corbel" w:hAnsi="Corbel"/>
              </w:rPr>
              <w:t>Section 2 (10)</w:t>
            </w:r>
          </w:p>
        </w:tc>
        <w:tc>
          <w:tcPr>
            <w:tcW w:w="6804" w:type="dxa"/>
          </w:tcPr>
          <w:p w:rsidR="004B6B5E" w:rsidRDefault="004B6B5E" w:rsidP="00497EA4">
            <w:pPr>
              <w:spacing w:before="120" w:after="120"/>
              <w:rPr>
                <w:rFonts w:ascii="Corbel" w:hAnsi="Corbel"/>
                <w:i/>
              </w:rPr>
            </w:pPr>
            <w:r w:rsidRPr="002A3977">
              <w:rPr>
                <w:rFonts w:ascii="Corbel" w:hAnsi="Corbel"/>
                <w:i/>
              </w:rPr>
              <w:t xml:space="preserve">The text highlighted in bold has been added to Section 2 in relation to the composition of supervisory teams, acknowledging that an advisor </w:t>
            </w:r>
            <w:r w:rsidR="002A3977">
              <w:rPr>
                <w:rFonts w:ascii="Corbel" w:hAnsi="Corbel"/>
                <w:i/>
              </w:rPr>
              <w:t>may be appointed for</w:t>
            </w:r>
            <w:r w:rsidRPr="002A3977">
              <w:rPr>
                <w:rFonts w:ascii="Corbel" w:hAnsi="Corbel"/>
                <w:i/>
              </w:rPr>
              <w:t xml:space="preserve"> pastoral reasons.</w:t>
            </w:r>
          </w:p>
          <w:p w:rsidR="000E02DB" w:rsidRPr="000E02DB" w:rsidRDefault="000E02DB" w:rsidP="00497EA4">
            <w:pPr>
              <w:autoSpaceDE w:val="0"/>
              <w:autoSpaceDN w:val="0"/>
              <w:adjustRightInd w:val="0"/>
              <w:spacing w:before="120" w:after="12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Roles and Responsibilities </w:t>
            </w:r>
            <w:r w:rsidRPr="000E02DB">
              <w:rPr>
                <w:rFonts w:ascii="Corbel" w:hAnsi="Corbel" w:cs="Corbel"/>
                <w:color w:val="000000"/>
              </w:rPr>
              <w:t xml:space="preserve"> </w:t>
            </w:r>
          </w:p>
          <w:p w:rsidR="00ED44AF" w:rsidRPr="007C6AB6" w:rsidRDefault="004B6B5E" w:rsidP="00497EA4">
            <w:pPr>
              <w:pStyle w:val="ListParagraph"/>
              <w:numPr>
                <w:ilvl w:val="0"/>
                <w:numId w:val="34"/>
              </w:numPr>
              <w:spacing w:before="120" w:after="120"/>
              <w:ind w:left="357" w:hanging="357"/>
              <w:rPr>
                <w:rFonts w:ascii="Corbel" w:hAnsi="Corbel"/>
              </w:rPr>
            </w:pPr>
            <w:r w:rsidRPr="004B6B5E">
              <w:rPr>
                <w:rFonts w:ascii="Corbel" w:hAnsi="Corbel"/>
              </w:rPr>
              <w:t xml:space="preserve">There may be cases where, due to the interdisciplinary nature of the research and/or the subject-specific expertise required </w:t>
            </w:r>
            <w:r w:rsidRPr="004B6B5E">
              <w:rPr>
                <w:rFonts w:ascii="Corbel" w:hAnsi="Corbel"/>
                <w:b/>
              </w:rPr>
              <w:t>(or exceptionally for pastoral reasons)</w:t>
            </w:r>
            <w:r w:rsidRPr="004B6B5E">
              <w:rPr>
                <w:rFonts w:ascii="Corbel" w:hAnsi="Corbel"/>
              </w:rPr>
              <w:t>, there is a need to appoint an advisor as a third or fourth member of the supervisory team. The advisor will normally be an established or probationary, doctorate-holding and research –active member of the academic staff of the College, an Honorary Research Fellow, Emerita/Emeritus or Visiting Professor or may be external to the College.</w:t>
            </w:r>
          </w:p>
        </w:tc>
        <w:tc>
          <w:tcPr>
            <w:tcW w:w="1276" w:type="dxa"/>
          </w:tcPr>
          <w:p w:rsidR="00E41B99" w:rsidRDefault="004B6B5E" w:rsidP="00497EA4">
            <w:pPr>
              <w:spacing w:before="120" w:after="120"/>
              <w:jc w:val="center"/>
              <w:rPr>
                <w:rFonts w:ascii="Corbel" w:hAnsi="Corbel"/>
              </w:rPr>
            </w:pPr>
            <w:r>
              <w:rPr>
                <w:rFonts w:ascii="Corbel" w:hAnsi="Corbel"/>
              </w:rPr>
              <w:t>4</w:t>
            </w:r>
          </w:p>
        </w:tc>
      </w:tr>
      <w:tr w:rsidR="00A475BD" w:rsidRPr="00B148E9" w:rsidTr="001A385B">
        <w:tc>
          <w:tcPr>
            <w:tcW w:w="2552" w:type="dxa"/>
          </w:tcPr>
          <w:p w:rsidR="00A475BD" w:rsidRDefault="00334EC4" w:rsidP="00497EA4">
            <w:pPr>
              <w:spacing w:before="120" w:after="120"/>
              <w:rPr>
                <w:rFonts w:ascii="Corbel" w:hAnsi="Corbel"/>
              </w:rPr>
            </w:pPr>
            <w:r>
              <w:rPr>
                <w:rFonts w:ascii="Corbel" w:hAnsi="Corbel"/>
              </w:rPr>
              <w:t>Section 2 (19)</w:t>
            </w:r>
          </w:p>
        </w:tc>
        <w:tc>
          <w:tcPr>
            <w:tcW w:w="6804" w:type="dxa"/>
          </w:tcPr>
          <w:p w:rsidR="00334EC4" w:rsidRDefault="00334EC4" w:rsidP="00497EA4">
            <w:pPr>
              <w:spacing w:before="120" w:after="120"/>
              <w:jc w:val="both"/>
              <w:rPr>
                <w:rFonts w:ascii="Corbel" w:hAnsi="Corbel"/>
                <w:i/>
              </w:rPr>
            </w:pPr>
            <w:r w:rsidRPr="002A3977">
              <w:rPr>
                <w:rFonts w:ascii="Corbel" w:hAnsi="Corbel"/>
                <w:i/>
              </w:rPr>
              <w:t xml:space="preserve">The following paragraph </w:t>
            </w:r>
            <w:r w:rsidR="002A3977" w:rsidRPr="002A3977">
              <w:rPr>
                <w:rFonts w:ascii="Corbel" w:hAnsi="Corbel"/>
                <w:i/>
              </w:rPr>
              <w:t xml:space="preserve">has been added </w:t>
            </w:r>
            <w:r w:rsidRPr="002A3977">
              <w:rPr>
                <w:rFonts w:ascii="Corbel" w:hAnsi="Corbel"/>
                <w:i/>
              </w:rPr>
              <w:t xml:space="preserve">to </w:t>
            </w:r>
            <w:r w:rsidR="008D7F9A">
              <w:rPr>
                <w:rFonts w:ascii="Corbel" w:hAnsi="Corbel"/>
                <w:i/>
              </w:rPr>
              <w:t xml:space="preserve">Section 2 of </w:t>
            </w:r>
            <w:r w:rsidRPr="002A3977">
              <w:rPr>
                <w:rFonts w:ascii="Corbel" w:hAnsi="Corbel"/>
                <w:i/>
              </w:rPr>
              <w:t>the Code to make clear its expectation that supervisors should ensure the continuity of supervision through periods of sabbatical and that they retain responsibility for ensuring suitable alternative arrangements are in place where they may be unable to continue to provide supervision.</w:t>
            </w:r>
          </w:p>
          <w:p w:rsidR="000E02DB" w:rsidRPr="000E02DB" w:rsidRDefault="000E02DB" w:rsidP="00497EA4">
            <w:pPr>
              <w:autoSpaceDE w:val="0"/>
              <w:autoSpaceDN w:val="0"/>
              <w:adjustRightInd w:val="0"/>
              <w:spacing w:before="120" w:after="120"/>
              <w:rPr>
                <w:rFonts w:ascii="Corbel" w:hAnsi="Corbel" w:cs="Corbel"/>
                <w:color w:val="000000"/>
              </w:rPr>
            </w:pPr>
            <w:r w:rsidRPr="000E02DB">
              <w:rPr>
                <w:rFonts w:ascii="Corbel" w:hAnsi="Corbel" w:cs="Corbel"/>
                <w:b/>
                <w:bCs/>
                <w:color w:val="000000"/>
              </w:rPr>
              <w:t xml:space="preserve">Roles and Responsibilities </w:t>
            </w:r>
          </w:p>
          <w:p w:rsidR="00F208D4" w:rsidRPr="007C6AB6" w:rsidRDefault="00334EC4" w:rsidP="00497EA4">
            <w:pPr>
              <w:pStyle w:val="ListParagraph"/>
              <w:numPr>
                <w:ilvl w:val="0"/>
                <w:numId w:val="36"/>
              </w:numPr>
              <w:spacing w:before="120" w:after="120"/>
              <w:ind w:left="357" w:hanging="357"/>
              <w:jc w:val="both"/>
              <w:rPr>
                <w:rFonts w:ascii="Corbel" w:hAnsi="Corbel"/>
                <w:b/>
              </w:rPr>
            </w:pPr>
            <w:r w:rsidRPr="00334EC4">
              <w:rPr>
                <w:rFonts w:ascii="Corbel" w:hAnsi="Corbel"/>
                <w:b/>
              </w:rPr>
              <w:t xml:space="preserve">Members of College staff assigned as principal or second supervisors will have continuing responsibility for supervision throughout any period of sabbatical. Where they may be unable to continue to act as principal or second supervisor (e.g. for reasons of overseas research fieldwork), they will be responsible for working with the </w:t>
            </w:r>
            <w:proofErr w:type="spellStart"/>
            <w:r w:rsidRPr="00334EC4">
              <w:rPr>
                <w:rFonts w:ascii="Corbel" w:hAnsi="Corbel"/>
                <w:b/>
              </w:rPr>
              <w:t>DoGS</w:t>
            </w:r>
            <w:proofErr w:type="spellEnd"/>
            <w:r w:rsidRPr="00334EC4">
              <w:rPr>
                <w:rFonts w:ascii="Corbel" w:hAnsi="Corbel"/>
                <w:b/>
              </w:rPr>
              <w:t xml:space="preserve"> to make alternative arrangements as necessary.</w:t>
            </w:r>
          </w:p>
        </w:tc>
        <w:tc>
          <w:tcPr>
            <w:tcW w:w="1276" w:type="dxa"/>
          </w:tcPr>
          <w:p w:rsidR="00A475BD" w:rsidRDefault="00334EC4" w:rsidP="00497EA4">
            <w:pPr>
              <w:spacing w:before="120" w:after="120"/>
              <w:jc w:val="center"/>
              <w:rPr>
                <w:rFonts w:ascii="Corbel" w:hAnsi="Corbel"/>
              </w:rPr>
            </w:pPr>
            <w:r>
              <w:rPr>
                <w:rFonts w:ascii="Corbel" w:hAnsi="Corbel"/>
              </w:rPr>
              <w:t>6</w:t>
            </w:r>
          </w:p>
        </w:tc>
      </w:tr>
      <w:tr w:rsidR="00224379" w:rsidRPr="00B148E9" w:rsidTr="001A385B">
        <w:tc>
          <w:tcPr>
            <w:tcW w:w="2552" w:type="dxa"/>
          </w:tcPr>
          <w:p w:rsidR="00224379" w:rsidRDefault="00DF220D" w:rsidP="00497EA4">
            <w:pPr>
              <w:spacing w:before="120" w:after="120"/>
              <w:rPr>
                <w:rFonts w:ascii="Corbel" w:hAnsi="Corbel"/>
              </w:rPr>
            </w:pPr>
            <w:r>
              <w:rPr>
                <w:rFonts w:ascii="Corbel" w:hAnsi="Corbel"/>
              </w:rPr>
              <w:t>Section 3 (31)</w:t>
            </w:r>
          </w:p>
        </w:tc>
        <w:tc>
          <w:tcPr>
            <w:tcW w:w="6804" w:type="dxa"/>
          </w:tcPr>
          <w:p w:rsidR="00F208D4" w:rsidRDefault="00DF220D" w:rsidP="00497EA4">
            <w:pPr>
              <w:spacing w:before="120" w:after="120"/>
              <w:jc w:val="both"/>
              <w:rPr>
                <w:rFonts w:ascii="Corbel" w:hAnsi="Corbel"/>
                <w:i/>
              </w:rPr>
            </w:pPr>
            <w:r w:rsidRPr="002A3977">
              <w:rPr>
                <w:rFonts w:ascii="Corbel" w:hAnsi="Corbel"/>
                <w:i/>
              </w:rPr>
              <w:t xml:space="preserve">The following paragraph has been removed from the Code </w:t>
            </w:r>
            <w:r w:rsidR="00F208D4" w:rsidRPr="002A3977">
              <w:rPr>
                <w:rFonts w:ascii="Corbel" w:hAnsi="Corbel"/>
                <w:i/>
              </w:rPr>
              <w:t xml:space="preserve">as it is </w:t>
            </w:r>
            <w:r w:rsidR="002A3977" w:rsidRPr="002A3977">
              <w:rPr>
                <w:rFonts w:ascii="Corbel" w:hAnsi="Corbel"/>
                <w:i/>
              </w:rPr>
              <w:t>no longer a requirement of the R</w:t>
            </w:r>
            <w:r w:rsidR="00F208D4" w:rsidRPr="002A3977">
              <w:rPr>
                <w:rFonts w:ascii="Corbel" w:hAnsi="Corbel"/>
                <w:i/>
              </w:rPr>
              <w:t xml:space="preserve">esearch </w:t>
            </w:r>
            <w:r w:rsidR="002A3977" w:rsidRPr="002A3977">
              <w:rPr>
                <w:rFonts w:ascii="Corbel" w:hAnsi="Corbel"/>
                <w:i/>
              </w:rPr>
              <w:t>C</w:t>
            </w:r>
            <w:r w:rsidR="00F208D4" w:rsidRPr="002A3977">
              <w:rPr>
                <w:rFonts w:ascii="Corbel" w:hAnsi="Corbel"/>
                <w:i/>
              </w:rPr>
              <w:t>ouncils.</w:t>
            </w:r>
          </w:p>
          <w:p w:rsidR="00497EA4" w:rsidRPr="000E02DB" w:rsidRDefault="00497EA4" w:rsidP="00497EA4">
            <w:pPr>
              <w:autoSpaceDE w:val="0"/>
              <w:autoSpaceDN w:val="0"/>
              <w:adjustRightInd w:val="0"/>
              <w:rPr>
                <w:rFonts w:ascii="Corbel" w:hAnsi="Corbel" w:cs="Corbel"/>
                <w:color w:val="000000"/>
              </w:rPr>
            </w:pPr>
            <w:r w:rsidRPr="000E02DB">
              <w:rPr>
                <w:rFonts w:ascii="Corbel" w:hAnsi="Corbel" w:cs="Corbel"/>
                <w:b/>
                <w:bCs/>
                <w:color w:val="000000"/>
              </w:rPr>
              <w:t xml:space="preserve">Research Skills Training </w:t>
            </w:r>
          </w:p>
          <w:p w:rsidR="00F208D4" w:rsidRPr="002A3977" w:rsidRDefault="00F208D4" w:rsidP="00497EA4">
            <w:pPr>
              <w:pStyle w:val="NormalWeb"/>
              <w:numPr>
                <w:ilvl w:val="0"/>
                <w:numId w:val="39"/>
              </w:numPr>
              <w:spacing w:before="120" w:beforeAutospacing="0" w:after="120" w:afterAutospacing="0"/>
              <w:ind w:left="357" w:hanging="357"/>
              <w:rPr>
                <w:rFonts w:ascii="Corbel" w:hAnsi="Corbel"/>
                <w:sz w:val="22"/>
                <w:szCs w:val="22"/>
              </w:rPr>
            </w:pPr>
            <w:r>
              <w:rPr>
                <w:rFonts w:ascii="Corbel" w:hAnsi="Corbel"/>
                <w:sz w:val="22"/>
                <w:szCs w:val="22"/>
              </w:rPr>
              <w:t xml:space="preserve">Students funded by Research Councils are normally required to complete an average of a minimum of ten days of research skills training per academic year over their first three years of full-time study (pro-rata for part-time students) with a total of thirty days </w:t>
            </w:r>
            <w:r>
              <w:rPr>
                <w:rFonts w:ascii="Corbel" w:hAnsi="Corbel"/>
                <w:sz w:val="22"/>
                <w:szCs w:val="22"/>
              </w:rPr>
              <w:lastRenderedPageBreak/>
              <w:t xml:space="preserve">across their three years of study. </w:t>
            </w:r>
          </w:p>
        </w:tc>
        <w:tc>
          <w:tcPr>
            <w:tcW w:w="1276" w:type="dxa"/>
          </w:tcPr>
          <w:p w:rsidR="00224379" w:rsidRDefault="00F208D4" w:rsidP="00497EA4">
            <w:pPr>
              <w:spacing w:before="120" w:after="120"/>
              <w:jc w:val="center"/>
              <w:rPr>
                <w:rFonts w:ascii="Corbel" w:hAnsi="Corbel"/>
              </w:rPr>
            </w:pPr>
            <w:r>
              <w:rPr>
                <w:rFonts w:ascii="Corbel" w:hAnsi="Corbel"/>
              </w:rPr>
              <w:lastRenderedPageBreak/>
              <w:t>9</w:t>
            </w:r>
          </w:p>
        </w:tc>
      </w:tr>
      <w:tr w:rsidR="00F208D4" w:rsidRPr="00B148E9" w:rsidTr="001A385B">
        <w:tc>
          <w:tcPr>
            <w:tcW w:w="2552" w:type="dxa"/>
          </w:tcPr>
          <w:p w:rsidR="00F208D4" w:rsidRDefault="00784B2C" w:rsidP="007C6AB6">
            <w:pPr>
              <w:spacing w:before="120" w:after="120"/>
              <w:rPr>
                <w:rFonts w:ascii="Corbel" w:hAnsi="Corbel"/>
              </w:rPr>
            </w:pPr>
            <w:r>
              <w:rPr>
                <w:rFonts w:ascii="Corbel" w:hAnsi="Corbel"/>
              </w:rPr>
              <w:lastRenderedPageBreak/>
              <w:t>Section 3 (34)</w:t>
            </w:r>
          </w:p>
        </w:tc>
        <w:tc>
          <w:tcPr>
            <w:tcW w:w="6804" w:type="dxa"/>
          </w:tcPr>
          <w:p w:rsidR="00784B2C" w:rsidRDefault="002A3977" w:rsidP="007C6AB6">
            <w:pPr>
              <w:pStyle w:val="NormalWeb"/>
              <w:spacing w:before="120" w:beforeAutospacing="0" w:after="120" w:afterAutospacing="0"/>
              <w:rPr>
                <w:rFonts w:ascii="Corbel" w:hAnsi="Corbel"/>
                <w:i/>
                <w:sz w:val="22"/>
                <w:szCs w:val="22"/>
              </w:rPr>
            </w:pPr>
            <w:r w:rsidRPr="002A3977">
              <w:rPr>
                <w:rFonts w:ascii="Corbel" w:hAnsi="Corbel"/>
                <w:i/>
                <w:sz w:val="22"/>
                <w:szCs w:val="22"/>
              </w:rPr>
              <w:t xml:space="preserve">The </w:t>
            </w:r>
            <w:r>
              <w:rPr>
                <w:rFonts w:ascii="Corbel" w:hAnsi="Corbel"/>
                <w:i/>
                <w:sz w:val="22"/>
                <w:szCs w:val="22"/>
              </w:rPr>
              <w:t xml:space="preserve">text in bold has been added to the paragraph below </w:t>
            </w:r>
            <w:r w:rsidR="00784B2C" w:rsidRPr="002A3977">
              <w:rPr>
                <w:rFonts w:ascii="Corbel" w:hAnsi="Corbel"/>
                <w:i/>
                <w:sz w:val="22"/>
                <w:szCs w:val="22"/>
              </w:rPr>
              <w:t>to make clear that departments may specify additional researcher development training and may take a discretional view on whether further activities such as conference posters should count toward such training.</w:t>
            </w:r>
          </w:p>
          <w:p w:rsidR="000E02DB" w:rsidRPr="000E02DB" w:rsidRDefault="000E02DB" w:rsidP="000E02DB">
            <w:pPr>
              <w:autoSpaceDE w:val="0"/>
              <w:autoSpaceDN w:val="0"/>
              <w:adjustRightInd w:val="0"/>
              <w:rPr>
                <w:rFonts w:ascii="Corbel" w:hAnsi="Corbel" w:cs="Corbel"/>
                <w:color w:val="000000"/>
              </w:rPr>
            </w:pPr>
            <w:r w:rsidRPr="000E02DB">
              <w:rPr>
                <w:rFonts w:ascii="Corbel" w:hAnsi="Corbel" w:cs="Corbel"/>
                <w:b/>
                <w:bCs/>
                <w:color w:val="000000"/>
              </w:rPr>
              <w:t xml:space="preserve">Research Skills Training </w:t>
            </w:r>
          </w:p>
          <w:p w:rsidR="00F208D4" w:rsidRPr="002A3977" w:rsidRDefault="00784B2C" w:rsidP="007C6AB6">
            <w:pPr>
              <w:pStyle w:val="NormalWeb"/>
              <w:numPr>
                <w:ilvl w:val="0"/>
                <w:numId w:val="41"/>
              </w:numPr>
              <w:spacing w:before="120" w:beforeAutospacing="0" w:after="120" w:afterAutospacing="0"/>
              <w:ind w:left="357" w:hanging="357"/>
              <w:rPr>
                <w:rFonts w:ascii="Corbel" w:hAnsi="Corbel"/>
                <w:sz w:val="22"/>
                <w:szCs w:val="22"/>
              </w:rPr>
            </w:pPr>
            <w:r>
              <w:rPr>
                <w:rFonts w:ascii="Corbel" w:hAnsi="Corbel"/>
                <w:sz w:val="22"/>
                <w:szCs w:val="22"/>
              </w:rPr>
              <w:t xml:space="preserve">All students are required to complete an average of a minimum of five days of researcher development training per academic year over their first three years of full-time study (pro-rata for part-time students) with a total of fifteen days across three years of study. </w:t>
            </w:r>
            <w:r w:rsidRPr="00784B2C">
              <w:rPr>
                <w:rFonts w:ascii="Corbel" w:hAnsi="Corbel"/>
                <w:b/>
                <w:sz w:val="22"/>
                <w:szCs w:val="22"/>
              </w:rPr>
              <w:t>Some departments may specify a higher number of days. Activities such as conference posters and papers may be counted towards this total at the discretion of departments.</w:t>
            </w:r>
            <w:r>
              <w:rPr>
                <w:rFonts w:ascii="Corbel" w:hAnsi="Corbel"/>
                <w:sz w:val="22"/>
                <w:szCs w:val="22"/>
              </w:rPr>
              <w:t xml:space="preserve"> </w:t>
            </w:r>
          </w:p>
        </w:tc>
        <w:tc>
          <w:tcPr>
            <w:tcW w:w="1276" w:type="dxa"/>
          </w:tcPr>
          <w:p w:rsidR="00F208D4" w:rsidRDefault="00784B2C" w:rsidP="007C6AB6">
            <w:pPr>
              <w:spacing w:before="120" w:after="120"/>
              <w:jc w:val="center"/>
              <w:rPr>
                <w:rFonts w:ascii="Corbel" w:hAnsi="Corbel"/>
              </w:rPr>
            </w:pPr>
            <w:r>
              <w:rPr>
                <w:rFonts w:ascii="Corbel" w:hAnsi="Corbel"/>
              </w:rPr>
              <w:t>9</w:t>
            </w:r>
          </w:p>
        </w:tc>
      </w:tr>
      <w:tr w:rsidR="00E443B7" w:rsidRPr="00B148E9" w:rsidTr="001A385B">
        <w:tc>
          <w:tcPr>
            <w:tcW w:w="2552" w:type="dxa"/>
          </w:tcPr>
          <w:p w:rsidR="00E443B7" w:rsidRDefault="00E443B7" w:rsidP="007C6AB6">
            <w:pPr>
              <w:spacing w:before="120" w:after="120"/>
              <w:rPr>
                <w:rFonts w:ascii="Corbel" w:hAnsi="Corbel"/>
              </w:rPr>
            </w:pPr>
            <w:r>
              <w:rPr>
                <w:rFonts w:ascii="Corbel" w:hAnsi="Corbel"/>
              </w:rPr>
              <w:t>Section 10 (71)</w:t>
            </w:r>
          </w:p>
        </w:tc>
        <w:tc>
          <w:tcPr>
            <w:tcW w:w="6804" w:type="dxa"/>
          </w:tcPr>
          <w:p w:rsidR="000974D1" w:rsidRDefault="00D170D4" w:rsidP="007C6AB6">
            <w:pPr>
              <w:spacing w:before="120" w:after="120"/>
              <w:jc w:val="both"/>
              <w:rPr>
                <w:rFonts w:ascii="Corbel" w:hAnsi="Corbel" w:cs="Arial"/>
                <w:i/>
                <w:lang w:eastAsia="en-GB"/>
              </w:rPr>
            </w:pPr>
            <w:r w:rsidRPr="002A3977">
              <w:rPr>
                <w:rFonts w:ascii="Corbel" w:hAnsi="Corbel" w:cs="Arial"/>
                <w:i/>
                <w:lang w:eastAsia="en-GB"/>
              </w:rPr>
              <w:t xml:space="preserve">The following paragraph has been added </w:t>
            </w:r>
            <w:r w:rsidR="008D7F9A">
              <w:rPr>
                <w:rFonts w:ascii="Corbel" w:hAnsi="Corbel" w:cs="Arial"/>
                <w:i/>
                <w:lang w:eastAsia="en-GB"/>
              </w:rPr>
              <w:t xml:space="preserve">to Section 10 </w:t>
            </w:r>
            <w:r w:rsidRPr="002A3977">
              <w:rPr>
                <w:rFonts w:ascii="Corbel" w:hAnsi="Corbel" w:cs="Arial"/>
                <w:i/>
                <w:lang w:eastAsia="en-GB"/>
              </w:rPr>
              <w:t>to provide further clarification on the College’s provision for supporting students who become pregnant during the course of their research degree.</w:t>
            </w:r>
          </w:p>
          <w:p w:rsidR="000E02DB" w:rsidRPr="000E02DB" w:rsidRDefault="000E02DB" w:rsidP="000E02DB">
            <w:pPr>
              <w:autoSpaceDE w:val="0"/>
              <w:autoSpaceDN w:val="0"/>
              <w:adjustRightInd w:val="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Maternity, Paternity and Adoption Leave </w:t>
            </w:r>
          </w:p>
          <w:p w:rsidR="00E443B7" w:rsidRPr="007C6AB6" w:rsidRDefault="000974D1" w:rsidP="007C6AB6">
            <w:pPr>
              <w:pStyle w:val="ListParagraph"/>
              <w:numPr>
                <w:ilvl w:val="0"/>
                <w:numId w:val="42"/>
              </w:numPr>
              <w:spacing w:before="120" w:after="120"/>
              <w:ind w:left="357" w:hanging="357"/>
              <w:jc w:val="both"/>
              <w:rPr>
                <w:rFonts w:ascii="Corbel" w:hAnsi="Corbel" w:cs="Arial"/>
                <w:b/>
                <w:lang w:eastAsia="en-GB"/>
              </w:rPr>
            </w:pPr>
            <w:r w:rsidRPr="00D170D4">
              <w:rPr>
                <w:rFonts w:ascii="Corbel" w:hAnsi="Corbel" w:cs="Arial"/>
                <w:b/>
                <w:lang w:eastAsia="en-GB"/>
              </w:rPr>
              <w:t>Where a student on a College studentshi</w:t>
            </w:r>
            <w:r w:rsidR="00C46653" w:rsidRPr="00D170D4">
              <w:rPr>
                <w:rFonts w:ascii="Corbel" w:hAnsi="Corbel" w:cs="Arial"/>
                <w:b/>
                <w:lang w:eastAsia="en-GB"/>
              </w:rPr>
              <w:t>p</w:t>
            </w:r>
            <w:r w:rsidRPr="00D170D4">
              <w:rPr>
                <w:rFonts w:ascii="Corbel" w:hAnsi="Corbel" w:cs="Arial"/>
                <w:b/>
                <w:lang w:eastAsia="en-GB"/>
              </w:rPr>
              <w:t xml:space="preserve"> becomes pregnant with an expected date of childbirth that occurs during the period of their research degree, or adopts a child during that time, they are entitled to six months of maternity/adoption leave during which the College will continue to pay their maintenance grant and the studentship will be extended accordingly. Students may also request an interruption of the award for a further six months after this period, during which no maintenance grant or tuition fees are payable. The paid period of absence and the unpaid interruption should be taken consecutively. Students must follow the procedures for requesting an interruption, ensuring that they include a copy of the MATB1 certificate if they are pregnant or other relevant evidence from an adoption or other agency if they are adopting. There is no qualifying period for maternity or adoption leave. As such, students may take leave regardless of when they commenced their research degree provided they are still receiving a stipend.</w:t>
            </w:r>
          </w:p>
        </w:tc>
        <w:tc>
          <w:tcPr>
            <w:tcW w:w="1276" w:type="dxa"/>
          </w:tcPr>
          <w:p w:rsidR="00E443B7" w:rsidRDefault="000974D1" w:rsidP="007C6AB6">
            <w:pPr>
              <w:spacing w:before="120" w:after="120"/>
              <w:jc w:val="center"/>
              <w:rPr>
                <w:rFonts w:ascii="Corbel" w:hAnsi="Corbel"/>
              </w:rPr>
            </w:pPr>
            <w:r>
              <w:rPr>
                <w:rFonts w:ascii="Corbel" w:hAnsi="Corbel"/>
              </w:rPr>
              <w:t>14</w:t>
            </w:r>
          </w:p>
        </w:tc>
      </w:tr>
      <w:tr w:rsidR="00D170D4" w:rsidRPr="00B148E9" w:rsidTr="001A385B">
        <w:tc>
          <w:tcPr>
            <w:tcW w:w="2552" w:type="dxa"/>
          </w:tcPr>
          <w:p w:rsidR="00D170D4" w:rsidRDefault="00D170D4" w:rsidP="007C6AB6">
            <w:pPr>
              <w:spacing w:before="120" w:after="120"/>
              <w:rPr>
                <w:rFonts w:ascii="Corbel" w:hAnsi="Corbel"/>
              </w:rPr>
            </w:pPr>
            <w:r>
              <w:rPr>
                <w:rFonts w:ascii="Corbel" w:hAnsi="Corbel"/>
              </w:rPr>
              <w:t>Section 10 (72)</w:t>
            </w:r>
          </w:p>
        </w:tc>
        <w:tc>
          <w:tcPr>
            <w:tcW w:w="6804" w:type="dxa"/>
          </w:tcPr>
          <w:p w:rsidR="00D170D4" w:rsidRDefault="00DB1D29" w:rsidP="007C6AB6">
            <w:pPr>
              <w:spacing w:before="120" w:after="120"/>
              <w:jc w:val="both"/>
              <w:rPr>
                <w:rFonts w:ascii="Corbel" w:hAnsi="Corbel" w:cs="Arial"/>
                <w:i/>
                <w:lang w:eastAsia="en-GB"/>
              </w:rPr>
            </w:pPr>
            <w:r w:rsidRPr="002A3977">
              <w:rPr>
                <w:rFonts w:ascii="Corbel" w:hAnsi="Corbel" w:cs="Arial"/>
                <w:i/>
                <w:lang w:eastAsia="en-GB"/>
              </w:rPr>
              <w:t xml:space="preserve">The </w:t>
            </w:r>
            <w:r w:rsidR="002A3977" w:rsidRPr="002A3977">
              <w:rPr>
                <w:rFonts w:ascii="Corbel" w:hAnsi="Corbel" w:cs="Arial"/>
                <w:i/>
                <w:lang w:eastAsia="en-GB"/>
              </w:rPr>
              <w:t xml:space="preserve">following </w:t>
            </w:r>
            <w:r w:rsidRPr="002A3977">
              <w:rPr>
                <w:rFonts w:ascii="Corbel" w:hAnsi="Corbel" w:cs="Arial"/>
                <w:i/>
                <w:lang w:eastAsia="en-GB"/>
              </w:rPr>
              <w:t>p</w:t>
            </w:r>
            <w:r w:rsidR="00651C60" w:rsidRPr="002A3977">
              <w:rPr>
                <w:rFonts w:ascii="Corbel" w:hAnsi="Corbel" w:cs="Arial"/>
                <w:i/>
                <w:lang w:eastAsia="en-GB"/>
              </w:rPr>
              <w:t xml:space="preserve">aragraph 72 </w:t>
            </w:r>
            <w:r w:rsidR="002A3977" w:rsidRPr="002A3977">
              <w:rPr>
                <w:rFonts w:ascii="Corbel" w:hAnsi="Corbel" w:cs="Arial"/>
                <w:i/>
                <w:lang w:eastAsia="en-GB"/>
              </w:rPr>
              <w:t>has been added to provide</w:t>
            </w:r>
            <w:r w:rsidR="00651C60" w:rsidRPr="002A3977">
              <w:rPr>
                <w:rFonts w:ascii="Corbel" w:hAnsi="Corbel" w:cs="Arial"/>
                <w:i/>
                <w:lang w:eastAsia="en-GB"/>
              </w:rPr>
              <w:t xml:space="preserve"> clarity on the entitlement to interruption for research degree students who become fathers during the course of their studies.</w:t>
            </w:r>
          </w:p>
          <w:p w:rsidR="000E02DB" w:rsidRPr="000E02DB" w:rsidRDefault="000E02DB" w:rsidP="000E02DB">
            <w:pPr>
              <w:autoSpaceDE w:val="0"/>
              <w:autoSpaceDN w:val="0"/>
              <w:adjustRightInd w:val="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Maternity, Paternity and Adoption Leave </w:t>
            </w:r>
          </w:p>
          <w:p w:rsidR="00356366" w:rsidRPr="007C6AB6" w:rsidRDefault="00DB1D29" w:rsidP="007C6AB6">
            <w:pPr>
              <w:pStyle w:val="ListParagraph"/>
              <w:numPr>
                <w:ilvl w:val="0"/>
                <w:numId w:val="44"/>
              </w:numPr>
              <w:spacing w:before="120" w:after="120"/>
              <w:ind w:left="357" w:hanging="357"/>
              <w:jc w:val="both"/>
              <w:rPr>
                <w:rFonts w:ascii="Corbel" w:hAnsi="Corbel" w:cs="Arial"/>
                <w:b/>
                <w:lang w:eastAsia="en-GB"/>
              </w:rPr>
            </w:pPr>
            <w:r w:rsidRPr="00DB1D29">
              <w:rPr>
                <w:rFonts w:ascii="Corbel" w:hAnsi="Corbel" w:cs="Arial"/>
                <w:b/>
                <w:lang w:eastAsia="en-GB"/>
              </w:rPr>
              <w:t>Full-time research students who are new fathers have the right to apply for an interruption of studies for up to 13 weeks, within the first 12 months after the birth of the child.</w:t>
            </w:r>
          </w:p>
        </w:tc>
        <w:tc>
          <w:tcPr>
            <w:tcW w:w="1276" w:type="dxa"/>
          </w:tcPr>
          <w:p w:rsidR="00D170D4" w:rsidRDefault="00EF272C" w:rsidP="007C6AB6">
            <w:pPr>
              <w:spacing w:before="120" w:after="120"/>
              <w:jc w:val="center"/>
              <w:rPr>
                <w:rFonts w:ascii="Corbel" w:hAnsi="Corbel"/>
              </w:rPr>
            </w:pPr>
            <w:r>
              <w:rPr>
                <w:rFonts w:ascii="Corbel" w:hAnsi="Corbel"/>
              </w:rPr>
              <w:t>14</w:t>
            </w:r>
          </w:p>
        </w:tc>
      </w:tr>
      <w:tr w:rsidR="00EF272C" w:rsidRPr="00B148E9" w:rsidTr="001A385B">
        <w:tc>
          <w:tcPr>
            <w:tcW w:w="2552" w:type="dxa"/>
          </w:tcPr>
          <w:p w:rsidR="00EF272C" w:rsidRDefault="00356366" w:rsidP="007C6AB6">
            <w:pPr>
              <w:spacing w:before="120" w:after="120"/>
              <w:rPr>
                <w:rFonts w:ascii="Corbel" w:hAnsi="Corbel"/>
              </w:rPr>
            </w:pPr>
            <w:r>
              <w:rPr>
                <w:rFonts w:ascii="Corbel" w:hAnsi="Corbel"/>
              </w:rPr>
              <w:t>Section 10 (76)</w:t>
            </w:r>
          </w:p>
        </w:tc>
        <w:tc>
          <w:tcPr>
            <w:tcW w:w="6804" w:type="dxa"/>
          </w:tcPr>
          <w:p w:rsidR="00356366" w:rsidRDefault="002A3977" w:rsidP="007C6AB6">
            <w:pPr>
              <w:spacing w:before="120" w:after="120"/>
              <w:jc w:val="both"/>
              <w:rPr>
                <w:rFonts w:ascii="Corbel" w:hAnsi="Corbel" w:cs="Arial"/>
                <w:i/>
                <w:lang w:eastAsia="en-GB"/>
              </w:rPr>
            </w:pPr>
            <w:r w:rsidRPr="002A3977">
              <w:rPr>
                <w:rFonts w:ascii="Corbel" w:hAnsi="Corbel" w:cs="Arial"/>
                <w:i/>
                <w:lang w:eastAsia="en-GB"/>
              </w:rPr>
              <w:t xml:space="preserve">The following paragraph </w:t>
            </w:r>
            <w:r w:rsidR="00CD32C9" w:rsidRPr="002A3977">
              <w:rPr>
                <w:rFonts w:ascii="Corbel" w:hAnsi="Corbel" w:cs="Arial"/>
                <w:i/>
                <w:lang w:eastAsia="en-GB"/>
              </w:rPr>
              <w:t>sets out provision which may be made available to international students, subject to the College’s continued compliance with its Tier 4 visa sponsorship obligations.</w:t>
            </w:r>
            <w:bookmarkStart w:id="0" w:name="_GoBack"/>
            <w:bookmarkEnd w:id="0"/>
          </w:p>
          <w:p w:rsidR="000E02DB" w:rsidRPr="000E02DB" w:rsidRDefault="000E02DB" w:rsidP="000E02DB">
            <w:pPr>
              <w:autoSpaceDE w:val="0"/>
              <w:autoSpaceDN w:val="0"/>
              <w:adjustRightInd w:val="0"/>
              <w:rPr>
                <w:rFonts w:ascii="Corbel" w:hAnsi="Corbel" w:cs="Corbel"/>
                <w:color w:val="000000"/>
              </w:rPr>
            </w:pPr>
            <w:r w:rsidRPr="000E02DB">
              <w:rPr>
                <w:rFonts w:ascii="Corbel" w:hAnsi="Corbel" w:cs="Corbel"/>
                <w:color w:val="000000"/>
                <w:sz w:val="24"/>
                <w:szCs w:val="24"/>
              </w:rPr>
              <w:lastRenderedPageBreak/>
              <w:t xml:space="preserve"> </w:t>
            </w:r>
            <w:r w:rsidRPr="000E02DB">
              <w:rPr>
                <w:rFonts w:ascii="Corbel" w:hAnsi="Corbel" w:cs="Corbel"/>
                <w:b/>
                <w:bCs/>
                <w:color w:val="000000"/>
              </w:rPr>
              <w:t xml:space="preserve">Maternity, Paternity and Adoption Leave </w:t>
            </w:r>
          </w:p>
          <w:p w:rsidR="00EF272C" w:rsidRPr="007C6AB6" w:rsidRDefault="00356366" w:rsidP="007C6AB6">
            <w:pPr>
              <w:pStyle w:val="ListParagraph"/>
              <w:numPr>
                <w:ilvl w:val="0"/>
                <w:numId w:val="46"/>
              </w:numPr>
              <w:spacing w:before="120" w:after="120"/>
              <w:ind w:left="357" w:hanging="357"/>
              <w:jc w:val="both"/>
              <w:rPr>
                <w:rFonts w:ascii="Corbel" w:hAnsi="Corbel" w:cs="Arial"/>
                <w:b/>
                <w:lang w:eastAsia="en-GB"/>
              </w:rPr>
            </w:pPr>
            <w:r w:rsidRPr="00896ADD">
              <w:rPr>
                <w:rFonts w:ascii="Corbel" w:hAnsi="Corbel" w:cs="Arial"/>
                <w:b/>
                <w:lang w:eastAsia="en-GB"/>
              </w:rPr>
              <w:t xml:space="preserve">The College may also provide a reduced period of stipend funding for international students holding visas. This will, however, be governed in relation to the maximum number of days allowed for pregnant international students to remain in the UK whilst interrupting their studies. The College will support such students according to the time allowed under the terms of their visa away from working on the studentship in the UK and will not pay any additional stipend over and above that figure. </w:t>
            </w:r>
          </w:p>
        </w:tc>
        <w:tc>
          <w:tcPr>
            <w:tcW w:w="1276" w:type="dxa"/>
          </w:tcPr>
          <w:p w:rsidR="00EF272C" w:rsidRDefault="00EE6A3C" w:rsidP="007C6AB6">
            <w:pPr>
              <w:spacing w:before="120" w:after="120"/>
              <w:jc w:val="center"/>
              <w:rPr>
                <w:rFonts w:ascii="Corbel" w:hAnsi="Corbel"/>
              </w:rPr>
            </w:pPr>
            <w:r>
              <w:rPr>
                <w:rFonts w:ascii="Corbel" w:hAnsi="Corbel"/>
              </w:rPr>
              <w:lastRenderedPageBreak/>
              <w:t>15</w:t>
            </w:r>
          </w:p>
        </w:tc>
      </w:tr>
    </w:tbl>
    <w:p w:rsidR="003C7E74" w:rsidRPr="00B148E9" w:rsidRDefault="003C7E74" w:rsidP="00B148E9">
      <w:pPr>
        <w:spacing w:before="120" w:after="120" w:line="240" w:lineRule="auto"/>
        <w:rPr>
          <w:rFonts w:ascii="Corbel" w:hAnsi="Corbel"/>
        </w:rPr>
      </w:pPr>
    </w:p>
    <w:sectPr w:rsidR="003C7E74" w:rsidRPr="00B148E9" w:rsidSect="00CE52F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F8" w:rsidRDefault="00A826F8" w:rsidP="006D21CE">
      <w:pPr>
        <w:spacing w:after="0" w:line="240" w:lineRule="auto"/>
      </w:pPr>
      <w:r>
        <w:separator/>
      </w:r>
    </w:p>
  </w:endnote>
  <w:endnote w:type="continuationSeparator" w:id="0">
    <w:p w:rsidR="00A826F8" w:rsidRDefault="00A826F8" w:rsidP="006D2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79090"/>
      <w:docPartObj>
        <w:docPartGallery w:val="Page Numbers (Bottom of Page)"/>
        <w:docPartUnique/>
      </w:docPartObj>
    </w:sdtPr>
    <w:sdtEndPr>
      <w:rPr>
        <w:rFonts w:ascii="Corbel" w:hAnsi="Corbel"/>
        <w:b/>
        <w:noProof/>
      </w:rPr>
    </w:sdtEndPr>
    <w:sdtContent>
      <w:p w:rsidR="00AE3171" w:rsidRPr="00CD318D" w:rsidRDefault="00AE3171">
        <w:pPr>
          <w:pStyle w:val="Footer"/>
          <w:jc w:val="right"/>
          <w:rPr>
            <w:rFonts w:ascii="Corbel" w:hAnsi="Corbel"/>
            <w:b/>
          </w:rPr>
        </w:pPr>
        <w:r w:rsidRPr="00CD318D">
          <w:rPr>
            <w:rFonts w:ascii="Corbel" w:hAnsi="Corbel"/>
            <w:b/>
          </w:rPr>
          <w:t xml:space="preserve">Summary of changes – </w:t>
        </w:r>
        <w:r w:rsidR="00C600E6">
          <w:rPr>
            <w:rFonts w:ascii="Corbel" w:hAnsi="Corbel"/>
            <w:b/>
          </w:rPr>
          <w:t>Research Degree Regulations</w:t>
        </w:r>
        <w:r w:rsidR="00CD318D" w:rsidRPr="00CD318D">
          <w:rPr>
            <w:rFonts w:ascii="Corbel" w:hAnsi="Corbel"/>
            <w:b/>
          </w:rPr>
          <w:t xml:space="preserve"> 2016/17</w:t>
        </w:r>
      </w:p>
      <w:p w:rsidR="006D21CE" w:rsidRPr="00CD318D" w:rsidRDefault="00D94161">
        <w:pPr>
          <w:pStyle w:val="Footer"/>
          <w:jc w:val="right"/>
          <w:rPr>
            <w:rFonts w:ascii="Corbel" w:hAnsi="Corbel"/>
            <w:b/>
          </w:rPr>
        </w:pPr>
        <w:r w:rsidRPr="00CD318D">
          <w:rPr>
            <w:rFonts w:ascii="Corbel" w:hAnsi="Corbel"/>
            <w:b/>
          </w:rPr>
          <w:fldChar w:fldCharType="begin"/>
        </w:r>
        <w:r w:rsidR="006D21CE" w:rsidRPr="00CD318D">
          <w:rPr>
            <w:rFonts w:ascii="Corbel" w:hAnsi="Corbel"/>
            <w:b/>
          </w:rPr>
          <w:instrText xml:space="preserve"> PAGE   \* MERGEFORMAT </w:instrText>
        </w:r>
        <w:r w:rsidRPr="00CD318D">
          <w:rPr>
            <w:rFonts w:ascii="Corbel" w:hAnsi="Corbel"/>
            <w:b/>
          </w:rPr>
          <w:fldChar w:fldCharType="separate"/>
        </w:r>
        <w:r w:rsidR="00497EA4">
          <w:rPr>
            <w:rFonts w:ascii="Corbel" w:hAnsi="Corbel"/>
            <w:b/>
            <w:noProof/>
          </w:rPr>
          <w:t>2</w:t>
        </w:r>
        <w:r w:rsidRPr="00CD318D">
          <w:rPr>
            <w:rFonts w:ascii="Corbel" w:hAnsi="Corbel"/>
            <w:b/>
            <w:noProof/>
          </w:rPr>
          <w:fldChar w:fldCharType="end"/>
        </w:r>
      </w:p>
    </w:sdtContent>
  </w:sdt>
  <w:p w:rsidR="006D21CE" w:rsidRPr="00CD318D" w:rsidRDefault="006D21CE">
    <w:pPr>
      <w:pStyle w:val="Footer"/>
      <w:rPr>
        <w:rFonts w:ascii="Corbel" w:hAnsi="Corbe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F8" w:rsidRDefault="00A826F8" w:rsidP="006D21CE">
      <w:pPr>
        <w:spacing w:after="0" w:line="240" w:lineRule="auto"/>
      </w:pPr>
      <w:r>
        <w:separator/>
      </w:r>
    </w:p>
  </w:footnote>
  <w:footnote w:type="continuationSeparator" w:id="0">
    <w:p w:rsidR="00A826F8" w:rsidRDefault="00A826F8" w:rsidP="006D2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00"/>
    <w:multiLevelType w:val="multilevel"/>
    <w:tmpl w:val="3092D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4B2ABF"/>
    <w:multiLevelType w:val="multilevel"/>
    <w:tmpl w:val="AEA6C3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147DE"/>
    <w:multiLevelType w:val="hybridMultilevel"/>
    <w:tmpl w:val="F98E732C"/>
    <w:lvl w:ilvl="0" w:tplc="F9F4C02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33F24"/>
    <w:multiLevelType w:val="multilevel"/>
    <w:tmpl w:val="47CCB2C2"/>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CB9487A"/>
    <w:multiLevelType w:val="hybridMultilevel"/>
    <w:tmpl w:val="3092D3FA"/>
    <w:lvl w:ilvl="0" w:tplc="AC4C60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322A7"/>
    <w:multiLevelType w:val="multilevel"/>
    <w:tmpl w:val="3076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12A78"/>
    <w:multiLevelType w:val="multilevel"/>
    <w:tmpl w:val="C30671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02457"/>
    <w:multiLevelType w:val="hybridMultilevel"/>
    <w:tmpl w:val="AAC01DEA"/>
    <w:lvl w:ilvl="0" w:tplc="8A08C1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1B5E1D"/>
    <w:multiLevelType w:val="hybridMultilevel"/>
    <w:tmpl w:val="36FA6D08"/>
    <w:lvl w:ilvl="0" w:tplc="ED1C0040">
      <w:start w:val="1"/>
      <w:numFmt w:val="decimal"/>
      <w:lvlText w:val="(%1)"/>
      <w:lvlJc w:val="left"/>
      <w:pPr>
        <w:ind w:left="1077" w:hanging="360"/>
      </w:pPr>
      <w:rPr>
        <w:rFonts w:hint="default"/>
      </w:rPr>
    </w:lvl>
    <w:lvl w:ilvl="1" w:tplc="29004E20">
      <w:start w:val="1"/>
      <w:numFmt w:val="lowerLetter"/>
      <w:lvlText w:val="(%2)"/>
      <w:lvlJc w:val="left"/>
      <w:pPr>
        <w:ind w:left="1797" w:hanging="360"/>
      </w:pPr>
      <w:rPr>
        <w:rFonts w:ascii="Corbel" w:eastAsia="Times New Roman" w:hAnsi="Corbel" w:cs="Times New Roman"/>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1CB04330"/>
    <w:multiLevelType w:val="hybridMultilevel"/>
    <w:tmpl w:val="31921342"/>
    <w:lvl w:ilvl="0" w:tplc="07940484">
      <w:start w:val="76"/>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3D6431"/>
    <w:multiLevelType w:val="hybridMultilevel"/>
    <w:tmpl w:val="C592EBF2"/>
    <w:lvl w:ilvl="0" w:tplc="DA50D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A1E62"/>
    <w:multiLevelType w:val="multilevel"/>
    <w:tmpl w:val="47CCB2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1688A"/>
    <w:multiLevelType w:val="hybridMultilevel"/>
    <w:tmpl w:val="B75CB332"/>
    <w:lvl w:ilvl="0" w:tplc="A016D7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772023"/>
    <w:multiLevelType w:val="multilevel"/>
    <w:tmpl w:val="353829E8"/>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11FC4"/>
    <w:multiLevelType w:val="hybridMultilevel"/>
    <w:tmpl w:val="C7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62549"/>
    <w:multiLevelType w:val="multilevel"/>
    <w:tmpl w:val="446A1BEC"/>
    <w:lvl w:ilvl="0">
      <w:start w:val="18"/>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2B636E"/>
    <w:multiLevelType w:val="hybridMultilevel"/>
    <w:tmpl w:val="95707082"/>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964EF"/>
    <w:multiLevelType w:val="hybridMultilevel"/>
    <w:tmpl w:val="5C244BD4"/>
    <w:lvl w:ilvl="0" w:tplc="A8B24E4E">
      <w:start w:val="72"/>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9686B"/>
    <w:multiLevelType w:val="hybridMultilevel"/>
    <w:tmpl w:val="53C05970"/>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60A50"/>
    <w:multiLevelType w:val="hybridMultilevel"/>
    <w:tmpl w:val="59129794"/>
    <w:lvl w:ilvl="0" w:tplc="46E66818">
      <w:start w:val="71"/>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B42010"/>
    <w:multiLevelType w:val="hybridMultilevel"/>
    <w:tmpl w:val="935EE530"/>
    <w:lvl w:ilvl="0" w:tplc="0F8602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F30723"/>
    <w:multiLevelType w:val="multilevel"/>
    <w:tmpl w:val="DE2E3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54701"/>
    <w:multiLevelType w:val="multilevel"/>
    <w:tmpl w:val="87B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426DD0"/>
    <w:multiLevelType w:val="hybridMultilevel"/>
    <w:tmpl w:val="DCEA9A72"/>
    <w:lvl w:ilvl="0" w:tplc="ED1C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925E80"/>
    <w:multiLevelType w:val="multilevel"/>
    <w:tmpl w:val="59129794"/>
    <w:lvl w:ilvl="0">
      <w:start w:val="71"/>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3B21B2"/>
    <w:multiLevelType w:val="hybridMultilevel"/>
    <w:tmpl w:val="930EEEE8"/>
    <w:lvl w:ilvl="0" w:tplc="61A449E0">
      <w:start w:val="7"/>
      <w:numFmt w:val="lowerLetter"/>
      <w:lvlText w:val="(%1)"/>
      <w:lvlJc w:val="left"/>
      <w:pPr>
        <w:ind w:left="717" w:hanging="360"/>
      </w:pPr>
      <w:rPr>
        <w:rFonts w:hint="default"/>
        <w:b/>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51656330"/>
    <w:multiLevelType w:val="hybridMultilevel"/>
    <w:tmpl w:val="5DD65260"/>
    <w:lvl w:ilvl="0" w:tplc="6BF622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CA2D27"/>
    <w:multiLevelType w:val="hybridMultilevel"/>
    <w:tmpl w:val="24DEDADE"/>
    <w:lvl w:ilvl="0" w:tplc="957AE5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591658D"/>
    <w:multiLevelType w:val="multilevel"/>
    <w:tmpl w:val="59129794"/>
    <w:lvl w:ilvl="0">
      <w:start w:val="71"/>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9208CD"/>
    <w:multiLevelType w:val="hybridMultilevel"/>
    <w:tmpl w:val="E5266252"/>
    <w:lvl w:ilvl="0" w:tplc="9CB09E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642F0"/>
    <w:multiLevelType w:val="hybridMultilevel"/>
    <w:tmpl w:val="B1745988"/>
    <w:lvl w:ilvl="0" w:tplc="469C497C">
      <w:start w:val="1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EF6AAF"/>
    <w:multiLevelType w:val="hybridMultilevel"/>
    <w:tmpl w:val="D0BA011C"/>
    <w:lvl w:ilvl="0" w:tplc="CECCFAFA">
      <w:start w:val="2"/>
      <w:numFmt w:val="decimal"/>
      <w:lvlText w:val="(%1)"/>
      <w:lvlJc w:val="left"/>
      <w:pPr>
        <w:ind w:left="720" w:hanging="360"/>
      </w:pPr>
      <w:rPr>
        <w:rFonts w:ascii="Corbel" w:hAnsi="Corbel" w:hint="default"/>
        <w:b w:val="0"/>
        <w:bCs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362B"/>
    <w:multiLevelType w:val="hybridMultilevel"/>
    <w:tmpl w:val="F8F8DA82"/>
    <w:lvl w:ilvl="0" w:tplc="A70CF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F2808"/>
    <w:multiLevelType w:val="hybridMultilevel"/>
    <w:tmpl w:val="1A6AD85A"/>
    <w:lvl w:ilvl="0" w:tplc="3EA48C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D3FBA"/>
    <w:multiLevelType w:val="multilevel"/>
    <w:tmpl w:val="53C059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8AD05E7"/>
    <w:multiLevelType w:val="multilevel"/>
    <w:tmpl w:val="10D875EC"/>
    <w:lvl w:ilvl="0">
      <w:start w:val="70"/>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E547EF"/>
    <w:multiLevelType w:val="hybridMultilevel"/>
    <w:tmpl w:val="B07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46C35"/>
    <w:multiLevelType w:val="hybridMultilevel"/>
    <w:tmpl w:val="F6780368"/>
    <w:lvl w:ilvl="0" w:tplc="283AADE8">
      <w:start w:val="1"/>
      <w:numFmt w:val="decimal"/>
      <w:lvlText w:val="(%1)"/>
      <w:lvlJc w:val="left"/>
      <w:pPr>
        <w:ind w:left="1077" w:hanging="360"/>
      </w:pPr>
      <w:rPr>
        <w:rFonts w:hint="default"/>
        <w:b w:val="0"/>
      </w:rPr>
    </w:lvl>
    <w:lvl w:ilvl="1" w:tplc="1D28E3F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F744AD"/>
    <w:multiLevelType w:val="hybridMultilevel"/>
    <w:tmpl w:val="657EF9F8"/>
    <w:lvl w:ilvl="0" w:tplc="B3F2C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285750"/>
    <w:multiLevelType w:val="multilevel"/>
    <w:tmpl w:val="E6563064"/>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2F719D"/>
    <w:multiLevelType w:val="multilevel"/>
    <w:tmpl w:val="2ED2B740"/>
    <w:lvl w:ilvl="0">
      <w:start w:val="1"/>
      <w:numFmt w:val="decimal"/>
      <w:lvlText w:val="(%1)"/>
      <w:lvlJc w:val="left"/>
      <w:pPr>
        <w:ind w:left="720" w:hanging="360"/>
      </w:pPr>
      <w:rPr>
        <w:rFonts w:ascii="Corbel" w:hAnsi="Corbel" w:hint="default"/>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41"/>
  </w:num>
  <w:num w:numId="3">
    <w:abstractNumId w:val="17"/>
  </w:num>
  <w:num w:numId="4">
    <w:abstractNumId w:val="16"/>
  </w:num>
  <w:num w:numId="5">
    <w:abstractNumId w:val="12"/>
  </w:num>
  <w:num w:numId="6">
    <w:abstractNumId w:val="39"/>
  </w:num>
  <w:num w:numId="7">
    <w:abstractNumId w:val="25"/>
  </w:num>
  <w:num w:numId="8">
    <w:abstractNumId w:val="8"/>
  </w:num>
  <w:num w:numId="9">
    <w:abstractNumId w:val="30"/>
  </w:num>
  <w:num w:numId="10">
    <w:abstractNumId w:val="44"/>
  </w:num>
  <w:num w:numId="11">
    <w:abstractNumId w:val="23"/>
  </w:num>
  <w:num w:numId="12">
    <w:abstractNumId w:val="27"/>
  </w:num>
  <w:num w:numId="13">
    <w:abstractNumId w:val="42"/>
  </w:num>
  <w:num w:numId="14">
    <w:abstractNumId w:val="10"/>
  </w:num>
  <w:num w:numId="15">
    <w:abstractNumId w:val="9"/>
  </w:num>
  <w:num w:numId="16">
    <w:abstractNumId w:val="3"/>
  </w:num>
  <w:num w:numId="17">
    <w:abstractNumId w:val="29"/>
  </w:num>
  <w:num w:numId="18">
    <w:abstractNumId w:val="5"/>
  </w:num>
  <w:num w:numId="19">
    <w:abstractNumId w:val="2"/>
  </w:num>
  <w:num w:numId="20">
    <w:abstractNumId w:val="0"/>
  </w:num>
  <w:num w:numId="21">
    <w:abstractNumId w:val="26"/>
  </w:num>
  <w:num w:numId="22">
    <w:abstractNumId w:val="35"/>
  </w:num>
  <w:num w:numId="23">
    <w:abstractNumId w:val="46"/>
  </w:num>
  <w:num w:numId="24">
    <w:abstractNumId w:val="21"/>
  </w:num>
  <w:num w:numId="25">
    <w:abstractNumId w:val="36"/>
  </w:num>
  <w:num w:numId="26">
    <w:abstractNumId w:val="38"/>
  </w:num>
  <w:num w:numId="27">
    <w:abstractNumId w:val="6"/>
  </w:num>
  <w:num w:numId="28">
    <w:abstractNumId w:val="19"/>
  </w:num>
  <w:num w:numId="29">
    <w:abstractNumId w:val="14"/>
  </w:num>
  <w:num w:numId="30">
    <w:abstractNumId w:val="31"/>
  </w:num>
  <w:num w:numId="31">
    <w:abstractNumId w:val="45"/>
  </w:num>
  <w:num w:numId="32">
    <w:abstractNumId w:val="33"/>
  </w:num>
  <w:num w:numId="33">
    <w:abstractNumId w:val="7"/>
  </w:num>
  <w:num w:numId="34">
    <w:abstractNumId w:val="37"/>
  </w:num>
  <w:num w:numId="35">
    <w:abstractNumId w:val="24"/>
  </w:num>
  <w:num w:numId="36">
    <w:abstractNumId w:val="34"/>
  </w:num>
  <w:num w:numId="37">
    <w:abstractNumId w:val="1"/>
  </w:num>
  <w:num w:numId="38">
    <w:abstractNumId w:val="18"/>
  </w:num>
  <w:num w:numId="39">
    <w:abstractNumId w:val="4"/>
  </w:num>
  <w:num w:numId="40">
    <w:abstractNumId w:val="15"/>
  </w:num>
  <w:num w:numId="41">
    <w:abstractNumId w:val="13"/>
  </w:num>
  <w:num w:numId="42">
    <w:abstractNumId w:val="22"/>
  </w:num>
  <w:num w:numId="43">
    <w:abstractNumId w:val="40"/>
  </w:num>
  <w:num w:numId="44">
    <w:abstractNumId w:val="20"/>
  </w:num>
  <w:num w:numId="45">
    <w:abstractNumId w:val="28"/>
  </w:num>
  <w:num w:numId="46">
    <w:abstractNumId w:val="1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7C1BC3"/>
    <w:rsid w:val="0003602E"/>
    <w:rsid w:val="00041A2F"/>
    <w:rsid w:val="00052FE1"/>
    <w:rsid w:val="000545F9"/>
    <w:rsid w:val="000901DA"/>
    <w:rsid w:val="000974D1"/>
    <w:rsid w:val="000D5895"/>
    <w:rsid w:val="000E02DB"/>
    <w:rsid w:val="00117F5F"/>
    <w:rsid w:val="00161521"/>
    <w:rsid w:val="00185D54"/>
    <w:rsid w:val="001953A3"/>
    <w:rsid w:val="001A385B"/>
    <w:rsid w:val="001B4BC7"/>
    <w:rsid w:val="001B7EEF"/>
    <w:rsid w:val="001C1FF7"/>
    <w:rsid w:val="001D1AB2"/>
    <w:rsid w:val="00203049"/>
    <w:rsid w:val="00224379"/>
    <w:rsid w:val="00230A6C"/>
    <w:rsid w:val="00245B87"/>
    <w:rsid w:val="002765AF"/>
    <w:rsid w:val="00294784"/>
    <w:rsid w:val="002A3977"/>
    <w:rsid w:val="002A6A19"/>
    <w:rsid w:val="002C5EC1"/>
    <w:rsid w:val="002D43D8"/>
    <w:rsid w:val="002E1E80"/>
    <w:rsid w:val="002F6BE3"/>
    <w:rsid w:val="00334EC4"/>
    <w:rsid w:val="003370DD"/>
    <w:rsid w:val="00356366"/>
    <w:rsid w:val="003C7E74"/>
    <w:rsid w:val="004056DF"/>
    <w:rsid w:val="0041099F"/>
    <w:rsid w:val="00497EA4"/>
    <w:rsid w:val="004B6B5E"/>
    <w:rsid w:val="004C6024"/>
    <w:rsid w:val="00504C17"/>
    <w:rsid w:val="00553EA6"/>
    <w:rsid w:val="005B7944"/>
    <w:rsid w:val="005D2B00"/>
    <w:rsid w:val="005E470E"/>
    <w:rsid w:val="0060364A"/>
    <w:rsid w:val="006455D9"/>
    <w:rsid w:val="00651C60"/>
    <w:rsid w:val="00670BE3"/>
    <w:rsid w:val="00672358"/>
    <w:rsid w:val="00676336"/>
    <w:rsid w:val="00696405"/>
    <w:rsid w:val="006D21CE"/>
    <w:rsid w:val="00726C91"/>
    <w:rsid w:val="00733E94"/>
    <w:rsid w:val="00766615"/>
    <w:rsid w:val="00784B2C"/>
    <w:rsid w:val="00790CE0"/>
    <w:rsid w:val="007940CE"/>
    <w:rsid w:val="007A31B3"/>
    <w:rsid w:val="007C1BC3"/>
    <w:rsid w:val="007C6AB6"/>
    <w:rsid w:val="007E68C9"/>
    <w:rsid w:val="00822A23"/>
    <w:rsid w:val="0083346C"/>
    <w:rsid w:val="008674CD"/>
    <w:rsid w:val="00870699"/>
    <w:rsid w:val="00887037"/>
    <w:rsid w:val="00896ADD"/>
    <w:rsid w:val="008A2DC1"/>
    <w:rsid w:val="008B6D13"/>
    <w:rsid w:val="008D38DA"/>
    <w:rsid w:val="008D7F9A"/>
    <w:rsid w:val="00943EE4"/>
    <w:rsid w:val="009538C5"/>
    <w:rsid w:val="0098046C"/>
    <w:rsid w:val="009B25C0"/>
    <w:rsid w:val="009C3547"/>
    <w:rsid w:val="009E5087"/>
    <w:rsid w:val="009F4A63"/>
    <w:rsid w:val="00A359C6"/>
    <w:rsid w:val="00A475BD"/>
    <w:rsid w:val="00A73A0B"/>
    <w:rsid w:val="00A74903"/>
    <w:rsid w:val="00A826F8"/>
    <w:rsid w:val="00A93FE3"/>
    <w:rsid w:val="00AD7995"/>
    <w:rsid w:val="00AE3171"/>
    <w:rsid w:val="00AF12E0"/>
    <w:rsid w:val="00B0129A"/>
    <w:rsid w:val="00B148E9"/>
    <w:rsid w:val="00B24F82"/>
    <w:rsid w:val="00B348EE"/>
    <w:rsid w:val="00B44C75"/>
    <w:rsid w:val="00B71BD9"/>
    <w:rsid w:val="00B809F6"/>
    <w:rsid w:val="00BC6C91"/>
    <w:rsid w:val="00BF5717"/>
    <w:rsid w:val="00BF5D12"/>
    <w:rsid w:val="00C349CC"/>
    <w:rsid w:val="00C45F18"/>
    <w:rsid w:val="00C46653"/>
    <w:rsid w:val="00C600E6"/>
    <w:rsid w:val="00C644F5"/>
    <w:rsid w:val="00C833B7"/>
    <w:rsid w:val="00CD318D"/>
    <w:rsid w:val="00CD32C9"/>
    <w:rsid w:val="00CE52F2"/>
    <w:rsid w:val="00CF3FD0"/>
    <w:rsid w:val="00D170D4"/>
    <w:rsid w:val="00D31FCB"/>
    <w:rsid w:val="00D43A5A"/>
    <w:rsid w:val="00D94161"/>
    <w:rsid w:val="00DB1D29"/>
    <w:rsid w:val="00DD1DE7"/>
    <w:rsid w:val="00DF1E7D"/>
    <w:rsid w:val="00DF220D"/>
    <w:rsid w:val="00E01418"/>
    <w:rsid w:val="00E069AE"/>
    <w:rsid w:val="00E20106"/>
    <w:rsid w:val="00E229ED"/>
    <w:rsid w:val="00E41B99"/>
    <w:rsid w:val="00E443B7"/>
    <w:rsid w:val="00EA110A"/>
    <w:rsid w:val="00EA50F3"/>
    <w:rsid w:val="00EA68B3"/>
    <w:rsid w:val="00EB2C1F"/>
    <w:rsid w:val="00EC28C9"/>
    <w:rsid w:val="00EC4F10"/>
    <w:rsid w:val="00ED44AF"/>
    <w:rsid w:val="00EE6A3C"/>
    <w:rsid w:val="00EF272C"/>
    <w:rsid w:val="00F208D4"/>
    <w:rsid w:val="00F22FD1"/>
    <w:rsid w:val="00F3611C"/>
    <w:rsid w:val="00F74ACC"/>
    <w:rsid w:val="00F96092"/>
    <w:rsid w:val="00FA54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A63"/>
    <w:pPr>
      <w:ind w:left="720"/>
      <w:contextualSpacing/>
    </w:pPr>
  </w:style>
  <w:style w:type="paragraph" w:styleId="BalloonText">
    <w:name w:val="Balloon Text"/>
    <w:basedOn w:val="Normal"/>
    <w:link w:val="BalloonTextChar"/>
    <w:uiPriority w:val="99"/>
    <w:semiHidden/>
    <w:unhideWhenUsed/>
    <w:rsid w:val="001B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F"/>
    <w:rPr>
      <w:rFonts w:ascii="Tahoma" w:hAnsi="Tahoma" w:cs="Tahoma"/>
      <w:sz w:val="16"/>
      <w:szCs w:val="16"/>
    </w:rPr>
  </w:style>
  <w:style w:type="paragraph" w:styleId="Header">
    <w:name w:val="header"/>
    <w:basedOn w:val="Normal"/>
    <w:link w:val="HeaderChar"/>
    <w:uiPriority w:val="99"/>
    <w:unhideWhenUsed/>
    <w:rsid w:val="006D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E"/>
  </w:style>
  <w:style w:type="paragraph" w:styleId="Footer">
    <w:name w:val="footer"/>
    <w:basedOn w:val="Normal"/>
    <w:link w:val="FooterChar"/>
    <w:uiPriority w:val="99"/>
    <w:unhideWhenUsed/>
    <w:rsid w:val="006D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E"/>
  </w:style>
  <w:style w:type="paragraph" w:customStyle="1" w:styleId="Default">
    <w:name w:val="Default"/>
    <w:basedOn w:val="Normal"/>
    <w:rsid w:val="007E68C9"/>
    <w:pPr>
      <w:autoSpaceDE w:val="0"/>
      <w:autoSpaceDN w:val="0"/>
      <w:spacing w:after="0" w:line="240" w:lineRule="auto"/>
    </w:pPr>
    <w:rPr>
      <w:rFonts w:ascii="Century Gothic" w:hAnsi="Century Gothic" w:cs="Times New Roman"/>
      <w:color w:val="000000"/>
      <w:sz w:val="24"/>
      <w:szCs w:val="24"/>
      <w:lang w:eastAsia="en-GB"/>
    </w:rPr>
  </w:style>
  <w:style w:type="character" w:styleId="Hyperlink">
    <w:name w:val="Hyperlink"/>
    <w:basedOn w:val="DefaultParagraphFont"/>
    <w:rsid w:val="00117F5F"/>
    <w:rPr>
      <w:color w:val="0000FF"/>
      <w:u w:val="single"/>
    </w:rPr>
  </w:style>
  <w:style w:type="paragraph" w:styleId="NormalWeb">
    <w:name w:val="Normal (Web)"/>
    <w:basedOn w:val="Normal"/>
    <w:uiPriority w:val="99"/>
    <w:unhideWhenUsed/>
    <w:rsid w:val="005E470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semiHidden/>
    <w:rsid w:val="00334EC4"/>
    <w:rPr>
      <w:sz w:val="16"/>
      <w:szCs w:val="16"/>
    </w:rPr>
  </w:style>
  <w:style w:type="paragraph" w:styleId="CommentText">
    <w:name w:val="annotation text"/>
    <w:basedOn w:val="Normal"/>
    <w:link w:val="CommentTextChar"/>
    <w:semiHidden/>
    <w:rsid w:val="00334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34EC4"/>
    <w:rPr>
      <w:rFonts w:ascii="Times New Roman" w:eastAsia="Times New Roman" w:hAnsi="Times New Roman" w:cs="Times New Roman"/>
      <w:sz w:val="20"/>
      <w:szCs w:val="20"/>
    </w:rPr>
  </w:style>
  <w:style w:type="character" w:styleId="FootnoteReference">
    <w:name w:val="footnote reference"/>
    <w:basedOn w:val="DefaultParagraphFont"/>
    <w:semiHidden/>
    <w:rsid w:val="000974D1"/>
    <w:rPr>
      <w:vertAlign w:val="superscript"/>
    </w:rPr>
  </w:style>
  <w:style w:type="paragraph" w:styleId="FootnoteText">
    <w:name w:val="footnote text"/>
    <w:basedOn w:val="Normal"/>
    <w:link w:val="FootnoteTextChar"/>
    <w:semiHidden/>
    <w:rsid w:val="000974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974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804598">
      <w:bodyDiv w:val="1"/>
      <w:marLeft w:val="0"/>
      <w:marRight w:val="0"/>
      <w:marTop w:val="0"/>
      <w:marBottom w:val="0"/>
      <w:divBdr>
        <w:top w:val="none" w:sz="0" w:space="0" w:color="auto"/>
        <w:left w:val="none" w:sz="0" w:space="0" w:color="auto"/>
        <w:bottom w:val="none" w:sz="0" w:space="0" w:color="auto"/>
        <w:right w:val="none" w:sz="0" w:space="0" w:color="auto"/>
      </w:divBdr>
      <w:divsChild>
        <w:div w:id="1806119389">
          <w:marLeft w:val="0"/>
          <w:marRight w:val="0"/>
          <w:marTop w:val="0"/>
          <w:marBottom w:val="0"/>
          <w:divBdr>
            <w:top w:val="none" w:sz="0" w:space="0" w:color="auto"/>
            <w:left w:val="none" w:sz="0" w:space="0" w:color="auto"/>
            <w:bottom w:val="none" w:sz="0" w:space="0" w:color="auto"/>
            <w:right w:val="none" w:sz="0" w:space="0" w:color="auto"/>
          </w:divBdr>
          <w:divsChild>
            <w:div w:id="189613547">
              <w:marLeft w:val="0"/>
              <w:marRight w:val="0"/>
              <w:marTop w:val="0"/>
              <w:marBottom w:val="0"/>
              <w:divBdr>
                <w:top w:val="none" w:sz="0" w:space="0" w:color="auto"/>
                <w:left w:val="none" w:sz="0" w:space="0" w:color="auto"/>
                <w:bottom w:val="none" w:sz="0" w:space="0" w:color="auto"/>
                <w:right w:val="none" w:sz="0" w:space="0" w:color="auto"/>
              </w:divBdr>
              <w:divsChild>
                <w:div w:id="99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208">
      <w:bodyDiv w:val="1"/>
      <w:marLeft w:val="0"/>
      <w:marRight w:val="0"/>
      <w:marTop w:val="0"/>
      <w:marBottom w:val="0"/>
      <w:divBdr>
        <w:top w:val="none" w:sz="0" w:space="0" w:color="auto"/>
        <w:left w:val="none" w:sz="0" w:space="0" w:color="auto"/>
        <w:bottom w:val="none" w:sz="0" w:space="0" w:color="auto"/>
        <w:right w:val="none" w:sz="0" w:space="0" w:color="auto"/>
      </w:divBdr>
      <w:divsChild>
        <w:div w:id="2045791761">
          <w:marLeft w:val="0"/>
          <w:marRight w:val="0"/>
          <w:marTop w:val="0"/>
          <w:marBottom w:val="0"/>
          <w:divBdr>
            <w:top w:val="none" w:sz="0" w:space="0" w:color="auto"/>
            <w:left w:val="none" w:sz="0" w:space="0" w:color="auto"/>
            <w:bottom w:val="none" w:sz="0" w:space="0" w:color="auto"/>
            <w:right w:val="none" w:sz="0" w:space="0" w:color="auto"/>
          </w:divBdr>
          <w:divsChild>
            <w:div w:id="392895837">
              <w:marLeft w:val="0"/>
              <w:marRight w:val="0"/>
              <w:marTop w:val="0"/>
              <w:marBottom w:val="0"/>
              <w:divBdr>
                <w:top w:val="none" w:sz="0" w:space="0" w:color="auto"/>
                <w:left w:val="none" w:sz="0" w:space="0" w:color="auto"/>
                <w:bottom w:val="none" w:sz="0" w:space="0" w:color="auto"/>
                <w:right w:val="none" w:sz="0" w:space="0" w:color="auto"/>
              </w:divBdr>
              <w:divsChild>
                <w:div w:id="1530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461">
      <w:bodyDiv w:val="1"/>
      <w:marLeft w:val="0"/>
      <w:marRight w:val="0"/>
      <w:marTop w:val="0"/>
      <w:marBottom w:val="0"/>
      <w:divBdr>
        <w:top w:val="none" w:sz="0" w:space="0" w:color="auto"/>
        <w:left w:val="none" w:sz="0" w:space="0" w:color="auto"/>
        <w:bottom w:val="none" w:sz="0" w:space="0" w:color="auto"/>
        <w:right w:val="none" w:sz="0" w:space="0" w:color="auto"/>
      </w:divBdr>
      <w:divsChild>
        <w:div w:id="1105609623">
          <w:marLeft w:val="0"/>
          <w:marRight w:val="0"/>
          <w:marTop w:val="0"/>
          <w:marBottom w:val="0"/>
          <w:divBdr>
            <w:top w:val="none" w:sz="0" w:space="0" w:color="auto"/>
            <w:left w:val="none" w:sz="0" w:space="0" w:color="auto"/>
            <w:bottom w:val="none" w:sz="0" w:space="0" w:color="auto"/>
            <w:right w:val="none" w:sz="0" w:space="0" w:color="auto"/>
          </w:divBdr>
          <w:divsChild>
            <w:div w:id="1273049100">
              <w:marLeft w:val="0"/>
              <w:marRight w:val="0"/>
              <w:marTop w:val="0"/>
              <w:marBottom w:val="0"/>
              <w:divBdr>
                <w:top w:val="none" w:sz="0" w:space="0" w:color="auto"/>
                <w:left w:val="none" w:sz="0" w:space="0" w:color="auto"/>
                <w:bottom w:val="none" w:sz="0" w:space="0" w:color="auto"/>
                <w:right w:val="none" w:sz="0" w:space="0" w:color="auto"/>
              </w:divBdr>
              <w:divsChild>
                <w:div w:id="1220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910">
      <w:bodyDiv w:val="1"/>
      <w:marLeft w:val="0"/>
      <w:marRight w:val="0"/>
      <w:marTop w:val="0"/>
      <w:marBottom w:val="0"/>
      <w:divBdr>
        <w:top w:val="none" w:sz="0" w:space="0" w:color="auto"/>
        <w:left w:val="none" w:sz="0" w:space="0" w:color="auto"/>
        <w:bottom w:val="none" w:sz="0" w:space="0" w:color="auto"/>
        <w:right w:val="none" w:sz="0" w:space="0" w:color="auto"/>
      </w:divBdr>
      <w:divsChild>
        <w:div w:id="1381171360">
          <w:marLeft w:val="0"/>
          <w:marRight w:val="0"/>
          <w:marTop w:val="0"/>
          <w:marBottom w:val="0"/>
          <w:divBdr>
            <w:top w:val="none" w:sz="0" w:space="0" w:color="auto"/>
            <w:left w:val="none" w:sz="0" w:space="0" w:color="auto"/>
            <w:bottom w:val="none" w:sz="0" w:space="0" w:color="auto"/>
            <w:right w:val="none" w:sz="0" w:space="0" w:color="auto"/>
          </w:divBdr>
          <w:divsChild>
            <w:div w:id="1544444302">
              <w:marLeft w:val="0"/>
              <w:marRight w:val="0"/>
              <w:marTop w:val="0"/>
              <w:marBottom w:val="0"/>
              <w:divBdr>
                <w:top w:val="none" w:sz="0" w:space="0" w:color="auto"/>
                <w:left w:val="none" w:sz="0" w:space="0" w:color="auto"/>
                <w:bottom w:val="none" w:sz="0" w:space="0" w:color="auto"/>
                <w:right w:val="none" w:sz="0" w:space="0" w:color="auto"/>
              </w:divBdr>
              <w:divsChild>
                <w:div w:id="2101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5571">
      <w:bodyDiv w:val="1"/>
      <w:marLeft w:val="0"/>
      <w:marRight w:val="0"/>
      <w:marTop w:val="0"/>
      <w:marBottom w:val="0"/>
      <w:divBdr>
        <w:top w:val="none" w:sz="0" w:space="0" w:color="auto"/>
        <w:left w:val="none" w:sz="0" w:space="0" w:color="auto"/>
        <w:bottom w:val="none" w:sz="0" w:space="0" w:color="auto"/>
        <w:right w:val="none" w:sz="0" w:space="0" w:color="auto"/>
      </w:divBdr>
      <w:divsChild>
        <w:div w:id="1658342176">
          <w:marLeft w:val="0"/>
          <w:marRight w:val="0"/>
          <w:marTop w:val="0"/>
          <w:marBottom w:val="0"/>
          <w:divBdr>
            <w:top w:val="none" w:sz="0" w:space="0" w:color="auto"/>
            <w:left w:val="none" w:sz="0" w:space="0" w:color="auto"/>
            <w:bottom w:val="none" w:sz="0" w:space="0" w:color="auto"/>
            <w:right w:val="none" w:sz="0" w:space="0" w:color="auto"/>
          </w:divBdr>
          <w:divsChild>
            <w:div w:id="211505747">
              <w:marLeft w:val="0"/>
              <w:marRight w:val="0"/>
              <w:marTop w:val="0"/>
              <w:marBottom w:val="0"/>
              <w:divBdr>
                <w:top w:val="none" w:sz="0" w:space="0" w:color="auto"/>
                <w:left w:val="none" w:sz="0" w:space="0" w:color="auto"/>
                <w:bottom w:val="none" w:sz="0" w:space="0" w:color="auto"/>
                <w:right w:val="none" w:sz="0" w:space="0" w:color="auto"/>
              </w:divBdr>
              <w:divsChild>
                <w:div w:id="210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818">
      <w:bodyDiv w:val="1"/>
      <w:marLeft w:val="0"/>
      <w:marRight w:val="0"/>
      <w:marTop w:val="0"/>
      <w:marBottom w:val="0"/>
      <w:divBdr>
        <w:top w:val="none" w:sz="0" w:space="0" w:color="auto"/>
        <w:left w:val="none" w:sz="0" w:space="0" w:color="auto"/>
        <w:bottom w:val="none" w:sz="0" w:space="0" w:color="auto"/>
        <w:right w:val="none" w:sz="0" w:space="0" w:color="auto"/>
      </w:divBdr>
      <w:divsChild>
        <w:div w:id="558977798">
          <w:marLeft w:val="0"/>
          <w:marRight w:val="0"/>
          <w:marTop w:val="0"/>
          <w:marBottom w:val="0"/>
          <w:divBdr>
            <w:top w:val="none" w:sz="0" w:space="0" w:color="auto"/>
            <w:left w:val="none" w:sz="0" w:space="0" w:color="auto"/>
            <w:bottom w:val="none" w:sz="0" w:space="0" w:color="auto"/>
            <w:right w:val="none" w:sz="0" w:space="0" w:color="auto"/>
          </w:divBdr>
          <w:divsChild>
            <w:div w:id="1312443942">
              <w:marLeft w:val="0"/>
              <w:marRight w:val="0"/>
              <w:marTop w:val="0"/>
              <w:marBottom w:val="0"/>
              <w:divBdr>
                <w:top w:val="none" w:sz="0" w:space="0" w:color="auto"/>
                <w:left w:val="none" w:sz="0" w:space="0" w:color="auto"/>
                <w:bottom w:val="none" w:sz="0" w:space="0" w:color="auto"/>
                <w:right w:val="none" w:sz="0" w:space="0" w:color="auto"/>
              </w:divBdr>
              <w:divsChild>
                <w:div w:id="1181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1893">
      <w:bodyDiv w:val="1"/>
      <w:marLeft w:val="0"/>
      <w:marRight w:val="0"/>
      <w:marTop w:val="0"/>
      <w:marBottom w:val="0"/>
      <w:divBdr>
        <w:top w:val="none" w:sz="0" w:space="0" w:color="auto"/>
        <w:left w:val="none" w:sz="0" w:space="0" w:color="auto"/>
        <w:bottom w:val="none" w:sz="0" w:space="0" w:color="auto"/>
        <w:right w:val="none" w:sz="0" w:space="0" w:color="auto"/>
      </w:divBdr>
      <w:divsChild>
        <w:div w:id="903023815">
          <w:marLeft w:val="0"/>
          <w:marRight w:val="0"/>
          <w:marTop w:val="0"/>
          <w:marBottom w:val="0"/>
          <w:divBdr>
            <w:top w:val="none" w:sz="0" w:space="0" w:color="auto"/>
            <w:left w:val="none" w:sz="0" w:space="0" w:color="auto"/>
            <w:bottom w:val="none" w:sz="0" w:space="0" w:color="auto"/>
            <w:right w:val="none" w:sz="0" w:space="0" w:color="auto"/>
          </w:divBdr>
          <w:divsChild>
            <w:div w:id="1829058071">
              <w:marLeft w:val="0"/>
              <w:marRight w:val="0"/>
              <w:marTop w:val="0"/>
              <w:marBottom w:val="0"/>
              <w:divBdr>
                <w:top w:val="none" w:sz="0" w:space="0" w:color="auto"/>
                <w:left w:val="none" w:sz="0" w:space="0" w:color="auto"/>
                <w:bottom w:val="none" w:sz="0" w:space="0" w:color="auto"/>
                <w:right w:val="none" w:sz="0" w:space="0" w:color="auto"/>
              </w:divBdr>
              <w:divsChild>
                <w:div w:id="29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4184">
      <w:bodyDiv w:val="1"/>
      <w:marLeft w:val="0"/>
      <w:marRight w:val="0"/>
      <w:marTop w:val="0"/>
      <w:marBottom w:val="0"/>
      <w:divBdr>
        <w:top w:val="none" w:sz="0" w:space="0" w:color="auto"/>
        <w:left w:val="none" w:sz="0" w:space="0" w:color="auto"/>
        <w:bottom w:val="none" w:sz="0" w:space="0" w:color="auto"/>
        <w:right w:val="none" w:sz="0" w:space="0" w:color="auto"/>
      </w:divBdr>
      <w:divsChild>
        <w:div w:id="254438939">
          <w:marLeft w:val="0"/>
          <w:marRight w:val="0"/>
          <w:marTop w:val="0"/>
          <w:marBottom w:val="0"/>
          <w:divBdr>
            <w:top w:val="none" w:sz="0" w:space="0" w:color="auto"/>
            <w:left w:val="none" w:sz="0" w:space="0" w:color="auto"/>
            <w:bottom w:val="none" w:sz="0" w:space="0" w:color="auto"/>
            <w:right w:val="none" w:sz="0" w:space="0" w:color="auto"/>
          </w:divBdr>
          <w:divsChild>
            <w:div w:id="1066562879">
              <w:marLeft w:val="0"/>
              <w:marRight w:val="0"/>
              <w:marTop w:val="0"/>
              <w:marBottom w:val="0"/>
              <w:divBdr>
                <w:top w:val="none" w:sz="0" w:space="0" w:color="auto"/>
                <w:left w:val="none" w:sz="0" w:space="0" w:color="auto"/>
                <w:bottom w:val="none" w:sz="0" w:space="0" w:color="auto"/>
                <w:right w:val="none" w:sz="0" w:space="0" w:color="auto"/>
              </w:divBdr>
              <w:divsChild>
                <w:div w:id="1170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229">
      <w:bodyDiv w:val="1"/>
      <w:marLeft w:val="0"/>
      <w:marRight w:val="0"/>
      <w:marTop w:val="0"/>
      <w:marBottom w:val="0"/>
      <w:divBdr>
        <w:top w:val="none" w:sz="0" w:space="0" w:color="auto"/>
        <w:left w:val="none" w:sz="0" w:space="0" w:color="auto"/>
        <w:bottom w:val="none" w:sz="0" w:space="0" w:color="auto"/>
        <w:right w:val="none" w:sz="0" w:space="0" w:color="auto"/>
      </w:divBdr>
      <w:divsChild>
        <w:div w:id="134220148">
          <w:marLeft w:val="0"/>
          <w:marRight w:val="0"/>
          <w:marTop w:val="0"/>
          <w:marBottom w:val="0"/>
          <w:divBdr>
            <w:top w:val="none" w:sz="0" w:space="0" w:color="auto"/>
            <w:left w:val="none" w:sz="0" w:space="0" w:color="auto"/>
            <w:bottom w:val="none" w:sz="0" w:space="0" w:color="auto"/>
            <w:right w:val="none" w:sz="0" w:space="0" w:color="auto"/>
          </w:divBdr>
          <w:divsChild>
            <w:div w:id="1904095726">
              <w:marLeft w:val="0"/>
              <w:marRight w:val="0"/>
              <w:marTop w:val="0"/>
              <w:marBottom w:val="0"/>
              <w:divBdr>
                <w:top w:val="none" w:sz="0" w:space="0" w:color="auto"/>
                <w:left w:val="none" w:sz="0" w:space="0" w:color="auto"/>
                <w:bottom w:val="none" w:sz="0" w:space="0" w:color="auto"/>
                <w:right w:val="none" w:sz="0" w:space="0" w:color="auto"/>
              </w:divBdr>
              <w:divsChild>
                <w:div w:id="97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0250">
      <w:bodyDiv w:val="1"/>
      <w:marLeft w:val="0"/>
      <w:marRight w:val="0"/>
      <w:marTop w:val="0"/>
      <w:marBottom w:val="0"/>
      <w:divBdr>
        <w:top w:val="none" w:sz="0" w:space="0" w:color="auto"/>
        <w:left w:val="none" w:sz="0" w:space="0" w:color="auto"/>
        <w:bottom w:val="none" w:sz="0" w:space="0" w:color="auto"/>
        <w:right w:val="none" w:sz="0" w:space="0" w:color="auto"/>
      </w:divBdr>
      <w:divsChild>
        <w:div w:id="1188713066">
          <w:marLeft w:val="0"/>
          <w:marRight w:val="0"/>
          <w:marTop w:val="0"/>
          <w:marBottom w:val="0"/>
          <w:divBdr>
            <w:top w:val="none" w:sz="0" w:space="0" w:color="auto"/>
            <w:left w:val="none" w:sz="0" w:space="0" w:color="auto"/>
            <w:bottom w:val="none" w:sz="0" w:space="0" w:color="auto"/>
            <w:right w:val="none" w:sz="0" w:space="0" w:color="auto"/>
          </w:divBdr>
          <w:divsChild>
            <w:div w:id="1325934033">
              <w:marLeft w:val="0"/>
              <w:marRight w:val="0"/>
              <w:marTop w:val="0"/>
              <w:marBottom w:val="0"/>
              <w:divBdr>
                <w:top w:val="none" w:sz="0" w:space="0" w:color="auto"/>
                <w:left w:val="none" w:sz="0" w:space="0" w:color="auto"/>
                <w:bottom w:val="none" w:sz="0" w:space="0" w:color="auto"/>
                <w:right w:val="none" w:sz="0" w:space="0" w:color="auto"/>
              </w:divBdr>
              <w:divsChild>
                <w:div w:id="20581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2914">
      <w:bodyDiv w:val="1"/>
      <w:marLeft w:val="0"/>
      <w:marRight w:val="0"/>
      <w:marTop w:val="0"/>
      <w:marBottom w:val="0"/>
      <w:divBdr>
        <w:top w:val="none" w:sz="0" w:space="0" w:color="auto"/>
        <w:left w:val="none" w:sz="0" w:space="0" w:color="auto"/>
        <w:bottom w:val="none" w:sz="0" w:space="0" w:color="auto"/>
        <w:right w:val="none" w:sz="0" w:space="0" w:color="auto"/>
      </w:divBdr>
      <w:divsChild>
        <w:div w:id="681202963">
          <w:marLeft w:val="0"/>
          <w:marRight w:val="0"/>
          <w:marTop w:val="0"/>
          <w:marBottom w:val="0"/>
          <w:divBdr>
            <w:top w:val="none" w:sz="0" w:space="0" w:color="auto"/>
            <w:left w:val="none" w:sz="0" w:space="0" w:color="auto"/>
            <w:bottom w:val="none" w:sz="0" w:space="0" w:color="auto"/>
            <w:right w:val="none" w:sz="0" w:space="0" w:color="auto"/>
          </w:divBdr>
          <w:divsChild>
            <w:div w:id="299237380">
              <w:marLeft w:val="0"/>
              <w:marRight w:val="0"/>
              <w:marTop w:val="0"/>
              <w:marBottom w:val="0"/>
              <w:divBdr>
                <w:top w:val="none" w:sz="0" w:space="0" w:color="auto"/>
                <w:left w:val="none" w:sz="0" w:space="0" w:color="auto"/>
                <w:bottom w:val="none" w:sz="0" w:space="0" w:color="auto"/>
                <w:right w:val="none" w:sz="0" w:space="0" w:color="auto"/>
              </w:divBdr>
              <w:divsChild>
                <w:div w:id="1816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893">
      <w:bodyDiv w:val="1"/>
      <w:marLeft w:val="0"/>
      <w:marRight w:val="0"/>
      <w:marTop w:val="0"/>
      <w:marBottom w:val="0"/>
      <w:divBdr>
        <w:top w:val="none" w:sz="0" w:space="0" w:color="auto"/>
        <w:left w:val="none" w:sz="0" w:space="0" w:color="auto"/>
        <w:bottom w:val="none" w:sz="0" w:space="0" w:color="auto"/>
        <w:right w:val="none" w:sz="0" w:space="0" w:color="auto"/>
      </w:divBdr>
      <w:divsChild>
        <w:div w:id="82999357">
          <w:marLeft w:val="0"/>
          <w:marRight w:val="0"/>
          <w:marTop w:val="0"/>
          <w:marBottom w:val="0"/>
          <w:divBdr>
            <w:top w:val="none" w:sz="0" w:space="0" w:color="auto"/>
            <w:left w:val="none" w:sz="0" w:space="0" w:color="auto"/>
            <w:bottom w:val="none" w:sz="0" w:space="0" w:color="auto"/>
            <w:right w:val="none" w:sz="0" w:space="0" w:color="auto"/>
          </w:divBdr>
          <w:divsChild>
            <w:div w:id="1225139710">
              <w:marLeft w:val="0"/>
              <w:marRight w:val="0"/>
              <w:marTop w:val="0"/>
              <w:marBottom w:val="0"/>
              <w:divBdr>
                <w:top w:val="none" w:sz="0" w:space="0" w:color="auto"/>
                <w:left w:val="none" w:sz="0" w:space="0" w:color="auto"/>
                <w:bottom w:val="none" w:sz="0" w:space="0" w:color="auto"/>
                <w:right w:val="none" w:sz="0" w:space="0" w:color="auto"/>
              </w:divBdr>
              <w:divsChild>
                <w:div w:id="1213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398">
      <w:bodyDiv w:val="1"/>
      <w:marLeft w:val="0"/>
      <w:marRight w:val="0"/>
      <w:marTop w:val="0"/>
      <w:marBottom w:val="0"/>
      <w:divBdr>
        <w:top w:val="none" w:sz="0" w:space="0" w:color="auto"/>
        <w:left w:val="none" w:sz="0" w:space="0" w:color="auto"/>
        <w:bottom w:val="none" w:sz="0" w:space="0" w:color="auto"/>
        <w:right w:val="none" w:sz="0" w:space="0" w:color="auto"/>
      </w:divBdr>
      <w:divsChild>
        <w:div w:id="355160830">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sChild>
                <w:div w:id="5128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C0D7-E131-4AE5-951F-64AA32B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Marina Beck</cp:lastModifiedBy>
  <cp:revision>5</cp:revision>
  <cp:lastPrinted>2016-07-05T07:57:00Z</cp:lastPrinted>
  <dcterms:created xsi:type="dcterms:W3CDTF">2016-07-15T16:40:00Z</dcterms:created>
  <dcterms:modified xsi:type="dcterms:W3CDTF">2016-07-15T16:54:00Z</dcterms:modified>
</cp:coreProperties>
</file>