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218C7" w:rsidR="006E6166" w:rsidP="006E6166" w:rsidRDefault="006E6166" w14:paraId="708CE784" w14:textId="77777777">
      <w:pPr>
        <w:jc w:val="center"/>
        <w:rPr>
          <w:rFonts w:asciiTheme="minorHAnsi" w:hAnsiTheme="minorHAnsi"/>
        </w:rPr>
      </w:pPr>
      <w:r w:rsidRPr="008218C7">
        <w:rPr>
          <w:rFonts w:asciiTheme="minorHAnsi" w:hAnsiTheme="minorHAnsi"/>
        </w:rPr>
        <w:t xml:space="preserve">DEPARTMENT OF CLASSICS </w:t>
      </w:r>
      <w:r>
        <w:rPr>
          <w:rFonts w:asciiTheme="minorHAnsi" w:hAnsiTheme="minorHAnsi"/>
        </w:rPr>
        <w:t>-</w:t>
      </w:r>
      <w:r w:rsidRPr="008218C7">
        <w:rPr>
          <w:rFonts w:asciiTheme="minorHAnsi" w:hAnsiTheme="minorHAnsi"/>
        </w:rPr>
        <w:t xml:space="preserve"> ROYAL HOLLOWAY UNIVERSITY OF LONDON </w:t>
      </w:r>
    </w:p>
    <w:p w:rsidRPr="008218C7" w:rsidR="006E6166" w:rsidP="006E6166" w:rsidRDefault="006E6166" w14:paraId="689A99D4" w14:textId="77777777">
      <w:pPr>
        <w:jc w:val="center"/>
        <w:rPr>
          <w:rFonts w:asciiTheme="minorHAnsi" w:hAnsiTheme="minorHAnsi"/>
          <w:b/>
        </w:rPr>
      </w:pPr>
    </w:p>
    <w:p w:rsidRPr="008218C7" w:rsidR="006E6166" w:rsidP="006E6166" w:rsidRDefault="006E6166" w14:paraId="0E0C42FE" w14:textId="6D59A7C8">
      <w:pPr>
        <w:jc w:val="center"/>
        <w:rPr>
          <w:rFonts w:asciiTheme="minorHAnsi" w:hAnsiTheme="minorHAnsi"/>
          <w:b/>
        </w:rPr>
      </w:pPr>
      <w:r w:rsidRPr="008218C7">
        <w:rPr>
          <w:rFonts w:asciiTheme="minorHAnsi" w:hAnsiTheme="minorHAnsi"/>
          <w:b/>
        </w:rPr>
        <w:t>CL</w:t>
      </w:r>
      <w:r w:rsidR="0030040A">
        <w:rPr>
          <w:rFonts w:asciiTheme="minorHAnsi" w:hAnsiTheme="minorHAnsi"/>
          <w:b/>
        </w:rPr>
        <w:t>5192</w:t>
      </w:r>
      <w:r w:rsidRPr="008218C7">
        <w:rPr>
          <w:rFonts w:asciiTheme="minorHAnsi" w:hAnsiTheme="minorHAnsi"/>
          <w:b/>
        </w:rPr>
        <w:t xml:space="preserve"> – </w:t>
      </w:r>
      <w:r>
        <w:rPr>
          <w:rFonts w:asciiTheme="minorHAnsi" w:hAnsiTheme="minorHAnsi"/>
          <w:b/>
        </w:rPr>
        <w:t xml:space="preserve">THE ARCHAEOLOGY OF ROMAN WATER – 2016 </w:t>
      </w:r>
    </w:p>
    <w:p w:rsidRPr="008218C7" w:rsidR="006E6166" w:rsidP="006E6166" w:rsidRDefault="006E6166" w14:paraId="0772D01C" w14:textId="77777777">
      <w:pPr>
        <w:rPr>
          <w:rFonts w:asciiTheme="minorHAnsi" w:hAnsiTheme="minorHAnsi"/>
        </w:rPr>
      </w:pPr>
    </w:p>
    <w:p w:rsidRPr="008218C7" w:rsidR="006E6166" w:rsidP="006E6166" w:rsidRDefault="006E6166" w14:paraId="5AA680BC" w14:textId="77777777">
      <w:pPr>
        <w:rPr>
          <w:rFonts w:asciiTheme="minorHAnsi" w:hAnsiTheme="minorHAnsi"/>
        </w:rPr>
      </w:pPr>
      <w:r w:rsidRPr="008218C7">
        <w:rPr>
          <w:rFonts w:asciiTheme="minorHAnsi" w:hAnsiTheme="minorHAnsi"/>
          <w:b/>
          <w:bCs/>
        </w:rPr>
        <w:t xml:space="preserve">COURSE TUTOR: </w:t>
      </w:r>
      <w:r w:rsidRPr="008218C7">
        <w:rPr>
          <w:rFonts w:asciiTheme="minorHAnsi" w:hAnsiTheme="minorHAnsi"/>
        </w:rPr>
        <w:t xml:space="preserve">Dr Zena Kamash (office </w:t>
      </w:r>
      <w:r>
        <w:rPr>
          <w:rFonts w:asciiTheme="minorHAnsi" w:hAnsiTheme="minorHAnsi"/>
        </w:rPr>
        <w:t>IN148</w:t>
      </w:r>
      <w:r w:rsidRPr="008218C7">
        <w:rPr>
          <w:rFonts w:asciiTheme="minorHAnsi" w:hAnsiTheme="minorHAnsi"/>
        </w:rPr>
        <w:t>) zena.kamash@rhul.ac.uk</w:t>
      </w:r>
    </w:p>
    <w:p w:rsidRPr="008218C7" w:rsidR="006E6166" w:rsidP="006E6166" w:rsidRDefault="006E6166" w14:paraId="40A59FD6" w14:textId="77777777">
      <w:pPr>
        <w:rPr>
          <w:rFonts w:asciiTheme="minorHAnsi" w:hAnsiTheme="minorHAnsi"/>
        </w:rPr>
      </w:pPr>
    </w:p>
    <w:p w:rsidRPr="008218C7" w:rsidR="006E6166" w:rsidP="006E6166" w:rsidRDefault="006E6166" w14:paraId="2CF1B208" w14:textId="77777777">
      <w:pPr>
        <w:rPr>
          <w:rFonts w:asciiTheme="minorHAnsi" w:hAnsiTheme="minorHAnsi"/>
          <w:b/>
        </w:rPr>
      </w:pPr>
      <w:r w:rsidRPr="008218C7">
        <w:rPr>
          <w:rFonts w:asciiTheme="minorHAnsi" w:hAnsiTheme="minorHAnsi"/>
          <w:b/>
        </w:rPr>
        <w:t xml:space="preserve">TEACHING ARRANGEMENTS </w:t>
      </w:r>
    </w:p>
    <w:p w:rsidR="006E6166" w:rsidP="006E6166" w:rsidRDefault="006460C0" w14:paraId="4F4795DA" w14:textId="4B376FFD">
      <w:pPr>
        <w:tabs>
          <w:tab w:val="left" w:pos="-1440"/>
          <w:tab w:val="left" w:pos="-720"/>
          <w:tab w:val="left" w:pos="0"/>
          <w:tab w:val="left" w:pos="492"/>
          <w:tab w:val="left" w:pos="1440"/>
        </w:tabs>
        <w:spacing w:line="226" w:lineRule="auto"/>
        <w:rPr>
          <w:rFonts w:asciiTheme="minorHAnsi" w:hAnsiTheme="minorHAnsi"/>
          <w:highlight w:val="yellow"/>
        </w:rPr>
      </w:pPr>
      <w:r>
        <w:rPr>
          <w:rFonts w:asciiTheme="minorHAnsi" w:hAnsiTheme="minorHAnsi"/>
        </w:rPr>
        <w:t xml:space="preserve">Autumn Term ONLY - </w:t>
      </w:r>
      <w:r w:rsidR="006E6166">
        <w:rPr>
          <w:rFonts w:asciiTheme="minorHAnsi" w:hAnsiTheme="minorHAnsi"/>
        </w:rPr>
        <w:t xml:space="preserve">10 weekly </w:t>
      </w:r>
      <w:r>
        <w:rPr>
          <w:rFonts w:asciiTheme="minorHAnsi" w:hAnsiTheme="minorHAnsi"/>
        </w:rPr>
        <w:t xml:space="preserve">2-hour </w:t>
      </w:r>
      <w:r w:rsidR="006E6166">
        <w:rPr>
          <w:rFonts w:asciiTheme="minorHAnsi" w:hAnsiTheme="minorHAnsi"/>
        </w:rPr>
        <w:t xml:space="preserve">classes </w:t>
      </w:r>
    </w:p>
    <w:p w:rsidR="00BF0DBB" w:rsidP="006E6166" w:rsidRDefault="00BF0DBB" w14:paraId="21CFA3B6" w14:textId="1ECD608A">
      <w:pPr>
        <w:tabs>
          <w:tab w:val="left" w:pos="-1440"/>
          <w:tab w:val="left" w:pos="-720"/>
          <w:tab w:val="left" w:pos="0"/>
          <w:tab w:val="left" w:pos="492"/>
          <w:tab w:val="left" w:pos="1440"/>
        </w:tabs>
        <w:spacing w:line="226" w:lineRule="auto"/>
        <w:rPr>
          <w:rFonts w:asciiTheme="minorHAnsi" w:hAnsiTheme="minorHAnsi"/>
        </w:rPr>
      </w:pPr>
      <w:r>
        <w:rPr>
          <w:rFonts w:asciiTheme="minorHAnsi" w:hAnsiTheme="minorHAnsi"/>
        </w:rPr>
        <w:t>Day and time: Tuesdays 10-12</w:t>
      </w:r>
    </w:p>
    <w:p w:rsidR="00BF0DBB" w:rsidP="006E6166" w:rsidRDefault="00BF0DBB" w14:paraId="47FD5311" w14:textId="5C689136">
      <w:pPr>
        <w:tabs>
          <w:tab w:val="left" w:pos="-1440"/>
          <w:tab w:val="left" w:pos="-720"/>
          <w:tab w:val="left" w:pos="0"/>
          <w:tab w:val="left" w:pos="492"/>
          <w:tab w:val="left" w:pos="1440"/>
        </w:tabs>
        <w:spacing w:line="226" w:lineRule="auto"/>
        <w:rPr>
          <w:rFonts w:asciiTheme="minorHAnsi" w:hAnsiTheme="minorHAnsi"/>
        </w:rPr>
      </w:pPr>
      <w:r>
        <w:rPr>
          <w:rFonts w:asciiTheme="minorHAnsi" w:hAnsiTheme="minorHAnsi"/>
        </w:rPr>
        <w:t>Place: Moore 0-06 (Royal Holloway, Egham Campus)</w:t>
      </w:r>
    </w:p>
    <w:p w:rsidRPr="008218C7" w:rsidR="006E6166" w:rsidP="006E6166" w:rsidRDefault="006E6166" w14:paraId="084CA7D6" w14:textId="77777777">
      <w:pPr>
        <w:tabs>
          <w:tab w:val="left" w:pos="-1440"/>
          <w:tab w:val="left" w:pos="-720"/>
          <w:tab w:val="left" w:pos="0"/>
          <w:tab w:val="left" w:pos="492"/>
          <w:tab w:val="left" w:pos="1440"/>
        </w:tabs>
        <w:spacing w:line="226" w:lineRule="auto"/>
        <w:rPr>
          <w:rFonts w:asciiTheme="minorHAnsi" w:hAnsiTheme="minorHAnsi"/>
        </w:rPr>
      </w:pPr>
    </w:p>
    <w:p w:rsidR="006E6166" w:rsidP="006E6166" w:rsidRDefault="006E6166" w14:paraId="7FCF75D5" w14:textId="77777777">
      <w:pPr>
        <w:spacing w:before="120"/>
        <w:rPr>
          <w:rFonts w:eastAsia="Arial" w:cs="Arial" w:asciiTheme="minorHAnsi" w:hAnsiTheme="minorHAnsi"/>
          <w:b/>
          <w:noProof/>
        </w:rPr>
      </w:pPr>
      <w:r>
        <w:rPr>
          <w:rFonts w:eastAsia="Arial" w:cs="Arial" w:asciiTheme="minorHAnsi" w:hAnsiTheme="minorHAnsi"/>
          <w:b/>
          <w:noProof/>
        </w:rPr>
        <w:t>COURSE SUMMARY</w:t>
      </w:r>
    </w:p>
    <w:p w:rsidRPr="006E6166" w:rsidR="006E6166" w:rsidP="009D5D1D" w:rsidRDefault="006E6166" w14:paraId="54E87C51" w14:textId="77777777">
      <w:pPr>
        <w:tabs>
          <w:tab w:val="left" w:pos="-1440"/>
          <w:tab w:val="left" w:pos="-720"/>
          <w:tab w:val="left" w:pos="0"/>
          <w:tab w:val="left" w:pos="492"/>
          <w:tab w:val="left" w:pos="1440"/>
        </w:tabs>
        <w:spacing w:line="226" w:lineRule="auto"/>
        <w:jc w:val="both"/>
        <w:rPr>
          <w:rFonts w:eastAsia="Arial" w:asciiTheme="minorHAnsi" w:hAnsiTheme="minorHAnsi"/>
        </w:rPr>
      </w:pPr>
      <w:r w:rsidRPr="006E6166">
        <w:rPr>
          <w:rFonts w:eastAsia="Arial" w:asciiTheme="minorHAnsi" w:hAnsiTheme="minorHAnsi"/>
        </w:rPr>
        <w:t>This course aims to explore the varied roles that water played in ancient lives</w:t>
      </w:r>
      <w:r w:rsidR="004310DA">
        <w:rPr>
          <w:rFonts w:eastAsia="Arial" w:asciiTheme="minorHAnsi" w:hAnsiTheme="minorHAnsi"/>
        </w:rPr>
        <w:t xml:space="preserve"> with a focus on the Roman world</w:t>
      </w:r>
      <w:r w:rsidRPr="006E6166">
        <w:rPr>
          <w:rFonts w:eastAsia="Arial" w:asciiTheme="minorHAnsi" w:hAnsiTheme="minorHAnsi"/>
        </w:rPr>
        <w:t>. During the course, we will look at the various technologies that were employed in the capture, supply and management of water in the ancient world, examining both the technological and social implications of these methods. In the first part of the course, we will investigate the key technologies (e.g. aqueducts, dams, reservoirs, bathhouses) in both rural and urban settings via a series of in-depth case studies of particular sites and regions. In the second part of the course, we will explore the social meanings behind these technological choices, drawing on material from Anthropology and Science and Technology Studies, and setting them within</w:t>
      </w:r>
      <w:r w:rsidR="00202204">
        <w:rPr>
          <w:rFonts w:eastAsia="Arial" w:asciiTheme="minorHAnsi" w:hAnsiTheme="minorHAnsi"/>
        </w:rPr>
        <w:t xml:space="preserve"> e.g.</w:t>
      </w:r>
      <w:r w:rsidRPr="006E6166">
        <w:rPr>
          <w:rFonts w:eastAsia="Arial" w:asciiTheme="minorHAnsi" w:hAnsiTheme="minorHAnsi"/>
        </w:rPr>
        <w:t xml:space="preserve"> the wider context of debates</w:t>
      </w:r>
      <w:bookmarkStart w:name="_GoBack" w:id="0"/>
      <w:bookmarkEnd w:id="0"/>
      <w:r w:rsidRPr="006E6166">
        <w:rPr>
          <w:rFonts w:eastAsia="Arial" w:asciiTheme="minorHAnsi" w:hAnsiTheme="minorHAnsi"/>
        </w:rPr>
        <w:t xml:space="preserve"> on the ancient economy and supposed technological stagnation in the ancient world.</w:t>
      </w:r>
    </w:p>
    <w:p w:rsidRPr="008218C7" w:rsidR="006E6166" w:rsidP="006E6166" w:rsidRDefault="006E6166" w14:paraId="75F606B7" w14:textId="77777777">
      <w:pPr>
        <w:tabs>
          <w:tab w:val="left" w:pos="-1440"/>
          <w:tab w:val="left" w:pos="-720"/>
          <w:tab w:val="left" w:pos="0"/>
          <w:tab w:val="left" w:pos="492"/>
          <w:tab w:val="left" w:pos="1440"/>
        </w:tabs>
        <w:spacing w:line="226" w:lineRule="auto"/>
        <w:rPr>
          <w:rFonts w:asciiTheme="minorHAnsi" w:hAnsiTheme="minorHAnsi"/>
        </w:rPr>
      </w:pPr>
    </w:p>
    <w:p w:rsidRPr="008218C7" w:rsidR="006E6166" w:rsidP="006E6166" w:rsidRDefault="006E6166" w14:paraId="7A6C8BC5" w14:textId="77777777">
      <w:pPr>
        <w:spacing w:line="226" w:lineRule="auto"/>
        <w:ind w:left="45"/>
        <w:rPr>
          <w:rFonts w:asciiTheme="minorHAnsi" w:hAnsiTheme="minorHAnsi"/>
        </w:rPr>
      </w:pPr>
      <w:r w:rsidRPr="008218C7">
        <w:rPr>
          <w:rFonts w:asciiTheme="minorHAnsi" w:hAnsiTheme="minorHAnsi"/>
          <w:b/>
        </w:rPr>
        <w:t>AIMS</w:t>
      </w:r>
      <w:r w:rsidRPr="008218C7">
        <w:rPr>
          <w:rFonts w:asciiTheme="minorHAnsi" w:hAnsiTheme="minorHAnsi"/>
        </w:rPr>
        <w:t xml:space="preserve"> </w:t>
      </w:r>
    </w:p>
    <w:p w:rsidRPr="008218C7" w:rsidR="006E6166" w:rsidP="006E6166" w:rsidRDefault="006E6166" w14:paraId="313AF6FC" w14:textId="77777777">
      <w:pPr>
        <w:rPr>
          <w:rFonts w:asciiTheme="minorHAnsi" w:hAnsiTheme="minorHAnsi"/>
        </w:rPr>
      </w:pPr>
      <w:r w:rsidRPr="008218C7">
        <w:rPr>
          <w:rFonts w:asciiTheme="minorHAnsi" w:hAnsiTheme="minorHAnsi"/>
        </w:rPr>
        <w:t>This course aims to introduce you to, and provide opportunities for you to explore:</w:t>
      </w:r>
    </w:p>
    <w:p w:rsidRPr="008218C7" w:rsidR="006E6166" w:rsidP="006E6166" w:rsidRDefault="006E6166" w14:paraId="3E21E31C" w14:textId="77777777">
      <w:pPr>
        <w:numPr>
          <w:ilvl w:val="0"/>
          <w:numId w:val="1"/>
        </w:numPr>
        <w:rPr>
          <w:rFonts w:asciiTheme="minorHAnsi" w:hAnsiTheme="minorHAnsi"/>
        </w:rPr>
      </w:pPr>
      <w:r w:rsidRPr="008218C7">
        <w:rPr>
          <w:rFonts w:asciiTheme="minorHAnsi" w:hAnsiTheme="minorHAnsi"/>
        </w:rPr>
        <w:t xml:space="preserve">The range of sources of evidence relevant to </w:t>
      </w:r>
      <w:r>
        <w:rPr>
          <w:rFonts w:asciiTheme="minorHAnsi" w:hAnsiTheme="minorHAnsi"/>
        </w:rPr>
        <w:t xml:space="preserve">the </w:t>
      </w:r>
      <w:r w:rsidR="00F55FB5">
        <w:rPr>
          <w:rFonts w:asciiTheme="minorHAnsi" w:hAnsiTheme="minorHAnsi"/>
        </w:rPr>
        <w:t>archaeology of water</w:t>
      </w:r>
    </w:p>
    <w:p w:rsidRPr="008218C7" w:rsidR="006E6166" w:rsidP="006E6166" w:rsidRDefault="006E6166" w14:paraId="3512808A" w14:textId="77777777">
      <w:pPr>
        <w:numPr>
          <w:ilvl w:val="0"/>
          <w:numId w:val="1"/>
        </w:numPr>
        <w:rPr>
          <w:rFonts w:asciiTheme="minorHAnsi" w:hAnsiTheme="minorHAnsi"/>
        </w:rPr>
      </w:pPr>
      <w:r w:rsidRPr="008218C7">
        <w:rPr>
          <w:rFonts w:asciiTheme="minorHAnsi" w:hAnsiTheme="minorHAnsi"/>
        </w:rPr>
        <w:t xml:space="preserve">Issues and problems of interpretation relating to </w:t>
      </w:r>
      <w:r>
        <w:rPr>
          <w:rFonts w:asciiTheme="minorHAnsi" w:hAnsiTheme="minorHAnsi"/>
        </w:rPr>
        <w:t xml:space="preserve">the </w:t>
      </w:r>
      <w:r w:rsidR="00F55FB5">
        <w:rPr>
          <w:rFonts w:asciiTheme="minorHAnsi" w:hAnsiTheme="minorHAnsi"/>
        </w:rPr>
        <w:t>archaeology of water</w:t>
      </w:r>
    </w:p>
    <w:p w:rsidRPr="00F55FB5" w:rsidR="006E6166" w:rsidP="006E6166" w:rsidRDefault="006E6166" w14:paraId="21DA0008" w14:textId="77777777">
      <w:pPr>
        <w:numPr>
          <w:ilvl w:val="0"/>
          <w:numId w:val="1"/>
        </w:numPr>
        <w:rPr>
          <w:rFonts w:asciiTheme="minorHAnsi" w:hAnsiTheme="minorHAnsi"/>
          <w:b/>
        </w:rPr>
      </w:pPr>
      <w:r w:rsidRPr="00F55FB5">
        <w:rPr>
          <w:rFonts w:asciiTheme="minorHAnsi" w:hAnsiTheme="minorHAnsi"/>
        </w:rPr>
        <w:t xml:space="preserve">Key </w:t>
      </w:r>
      <w:r w:rsidRPr="00F55FB5" w:rsidR="00F55FB5">
        <w:rPr>
          <w:rFonts w:asciiTheme="minorHAnsi" w:hAnsiTheme="minorHAnsi"/>
        </w:rPr>
        <w:t xml:space="preserve">debates in the archaeology of water and technology. </w:t>
      </w:r>
    </w:p>
    <w:p w:rsidRPr="00F55FB5" w:rsidR="00F55FB5" w:rsidP="00F55FB5" w:rsidRDefault="00F55FB5" w14:paraId="433FFAD6" w14:textId="77777777">
      <w:pPr>
        <w:ind w:left="780"/>
        <w:rPr>
          <w:rFonts w:asciiTheme="minorHAnsi" w:hAnsiTheme="minorHAnsi"/>
          <w:b/>
        </w:rPr>
      </w:pPr>
    </w:p>
    <w:p w:rsidRPr="008218C7" w:rsidR="006E6166" w:rsidP="006E6166" w:rsidRDefault="006E6166" w14:paraId="0886CBF9" w14:textId="77777777">
      <w:pPr>
        <w:rPr>
          <w:rFonts w:asciiTheme="minorHAnsi" w:hAnsiTheme="minorHAnsi"/>
          <w:b/>
        </w:rPr>
      </w:pPr>
      <w:r w:rsidRPr="008218C7">
        <w:rPr>
          <w:rFonts w:asciiTheme="minorHAnsi" w:hAnsiTheme="minorHAnsi"/>
          <w:b/>
        </w:rPr>
        <w:t>LEARNING OUTCOMES</w:t>
      </w:r>
    </w:p>
    <w:p w:rsidR="006E6166" w:rsidP="006E6166" w:rsidRDefault="006E6166" w14:paraId="364BB5F9" w14:textId="77777777">
      <w:pPr>
        <w:numPr>
          <w:ilvl w:val="0"/>
          <w:numId w:val="2"/>
        </w:numPr>
        <w:rPr>
          <w:rFonts w:asciiTheme="minorHAnsi" w:hAnsiTheme="minorHAnsi"/>
        </w:rPr>
      </w:pPr>
      <w:r>
        <w:rPr>
          <w:rFonts w:asciiTheme="minorHAnsi" w:hAnsiTheme="minorHAnsi"/>
        </w:rPr>
        <w:t>Identify the main water technologies in the ancient world</w:t>
      </w:r>
    </w:p>
    <w:p w:rsidR="006E6166" w:rsidP="006E6166" w:rsidRDefault="006E6166" w14:paraId="1190D2DF" w14:textId="7ACB3465">
      <w:pPr>
        <w:numPr>
          <w:ilvl w:val="0"/>
          <w:numId w:val="2"/>
        </w:numPr>
        <w:rPr>
          <w:rFonts w:asciiTheme="minorHAnsi" w:hAnsiTheme="minorHAnsi"/>
        </w:rPr>
      </w:pPr>
      <w:r>
        <w:rPr>
          <w:rFonts w:asciiTheme="minorHAnsi" w:hAnsiTheme="minorHAnsi"/>
        </w:rPr>
        <w:t xml:space="preserve">Discuss the technological challenges faced by </w:t>
      </w:r>
      <w:r w:rsidR="0030040A">
        <w:rPr>
          <w:rFonts w:asciiTheme="minorHAnsi" w:hAnsiTheme="minorHAnsi"/>
        </w:rPr>
        <w:t>people in the ancient world</w:t>
      </w:r>
    </w:p>
    <w:p w:rsidR="006E6166" w:rsidP="006E6166" w:rsidRDefault="006E6166" w14:paraId="7BF67E70" w14:textId="77777777">
      <w:pPr>
        <w:numPr>
          <w:ilvl w:val="0"/>
          <w:numId w:val="2"/>
        </w:numPr>
        <w:rPr>
          <w:rFonts w:asciiTheme="minorHAnsi" w:hAnsiTheme="minorHAnsi"/>
        </w:rPr>
      </w:pPr>
      <w:r>
        <w:rPr>
          <w:rFonts w:asciiTheme="minorHAnsi" w:hAnsiTheme="minorHAnsi"/>
        </w:rPr>
        <w:t>Discuss the social implications of technological choices</w:t>
      </w:r>
    </w:p>
    <w:p w:rsidR="006E6166" w:rsidP="006E6166" w:rsidRDefault="006E6166" w14:paraId="3A5D8F31" w14:textId="77777777">
      <w:pPr>
        <w:numPr>
          <w:ilvl w:val="0"/>
          <w:numId w:val="2"/>
        </w:numPr>
        <w:rPr>
          <w:rFonts w:asciiTheme="minorHAnsi" w:hAnsiTheme="minorHAnsi"/>
        </w:rPr>
      </w:pPr>
      <w:r>
        <w:rPr>
          <w:rFonts w:asciiTheme="minorHAnsi" w:hAnsiTheme="minorHAnsi"/>
        </w:rPr>
        <w:t>Show an awareness of the key sites and archaeological examples of water technology in the ancient world</w:t>
      </w:r>
    </w:p>
    <w:p w:rsidR="006E6166" w:rsidP="006E6166" w:rsidRDefault="006E6166" w14:paraId="324B120F" w14:textId="77777777">
      <w:pPr>
        <w:numPr>
          <w:ilvl w:val="0"/>
          <w:numId w:val="2"/>
        </w:numPr>
        <w:rPr>
          <w:rFonts w:asciiTheme="minorHAnsi" w:hAnsiTheme="minorHAnsi"/>
        </w:rPr>
      </w:pPr>
      <w:r>
        <w:rPr>
          <w:rFonts w:asciiTheme="minorHAnsi" w:hAnsiTheme="minorHAnsi"/>
        </w:rPr>
        <w:t>Show an awareness of the main theoretical debates in understanding modern technologies and how these apply to the ancient world</w:t>
      </w:r>
    </w:p>
    <w:p w:rsidRPr="008218C7" w:rsidR="006E6166" w:rsidP="006E6166" w:rsidRDefault="006E6166" w14:paraId="05009954" w14:textId="77777777">
      <w:pPr>
        <w:numPr>
          <w:ilvl w:val="0"/>
          <w:numId w:val="2"/>
        </w:numPr>
        <w:rPr>
          <w:rFonts w:asciiTheme="minorHAnsi" w:hAnsiTheme="minorHAnsi"/>
        </w:rPr>
      </w:pPr>
      <w:r>
        <w:rPr>
          <w:rFonts w:asciiTheme="minorHAnsi" w:hAnsiTheme="minorHAnsi"/>
        </w:rPr>
        <w:t>Show an awareness of how the archaeology of water can inform other archaeological debates.</w:t>
      </w:r>
    </w:p>
    <w:p w:rsidRPr="008218C7" w:rsidR="006E6166" w:rsidP="006E6166" w:rsidRDefault="006E6166" w14:paraId="0306D0C2" w14:textId="77777777">
      <w:pPr>
        <w:rPr>
          <w:rFonts w:asciiTheme="minorHAnsi" w:hAnsiTheme="minorHAnsi"/>
        </w:rPr>
      </w:pPr>
    </w:p>
    <w:p w:rsidR="006E6166" w:rsidP="006E6166" w:rsidRDefault="006E6166" w14:paraId="2290C923" w14:textId="77777777">
      <w:pPr>
        <w:tabs>
          <w:tab w:val="left" w:pos="-1440"/>
          <w:tab w:val="left" w:pos="-720"/>
          <w:tab w:val="left" w:pos="0"/>
          <w:tab w:val="left" w:pos="492"/>
          <w:tab w:val="left" w:pos="1440"/>
        </w:tabs>
        <w:spacing w:line="226" w:lineRule="auto"/>
        <w:rPr>
          <w:rFonts w:asciiTheme="minorHAnsi" w:hAnsiTheme="minorHAnsi"/>
          <w:b/>
        </w:rPr>
      </w:pPr>
    </w:p>
    <w:p w:rsidRPr="008218C7" w:rsidR="006E6166" w:rsidP="006E6166" w:rsidRDefault="006E6166" w14:paraId="04A02B3F" w14:textId="77777777">
      <w:pPr>
        <w:tabs>
          <w:tab w:val="left" w:pos="-1440"/>
          <w:tab w:val="left" w:pos="-720"/>
          <w:tab w:val="left" w:pos="0"/>
          <w:tab w:val="left" w:pos="492"/>
          <w:tab w:val="left" w:pos="1440"/>
        </w:tabs>
        <w:spacing w:line="226" w:lineRule="auto"/>
        <w:rPr>
          <w:rFonts w:asciiTheme="minorHAnsi" w:hAnsiTheme="minorHAnsi"/>
          <w:b/>
        </w:rPr>
      </w:pPr>
      <w:r>
        <w:rPr>
          <w:rFonts w:asciiTheme="minorHAnsi" w:hAnsiTheme="minorHAnsi"/>
          <w:b/>
        </w:rPr>
        <w:t>COURSEWORK and</w:t>
      </w:r>
      <w:r w:rsidRPr="008218C7">
        <w:rPr>
          <w:rFonts w:asciiTheme="minorHAnsi" w:hAnsiTheme="minorHAnsi"/>
          <w:b/>
        </w:rPr>
        <w:t xml:space="preserve"> ASSESSMENT</w:t>
      </w:r>
    </w:p>
    <w:p w:rsidR="006E6166" w:rsidP="006E6166" w:rsidRDefault="006E6166" w14:paraId="0FA7C1B8" w14:textId="77777777">
      <w:pPr>
        <w:tabs>
          <w:tab w:val="left" w:pos="-1440"/>
          <w:tab w:val="left" w:pos="-720"/>
          <w:tab w:val="left" w:pos="0"/>
          <w:tab w:val="left" w:pos="492"/>
          <w:tab w:val="left" w:pos="1440"/>
        </w:tabs>
        <w:spacing w:line="226" w:lineRule="auto"/>
        <w:rPr>
          <w:rFonts w:asciiTheme="minorHAnsi" w:hAnsiTheme="minorHAnsi"/>
          <w:b/>
          <w:i/>
        </w:rPr>
      </w:pPr>
    </w:p>
    <w:p w:rsidR="00F55FB5" w:rsidP="006E6166" w:rsidRDefault="00F55FB5" w14:paraId="31BF5B4E" w14:textId="5D2F67D4">
      <w:pPr>
        <w:rPr>
          <w:rFonts w:asciiTheme="minorHAnsi" w:hAnsiTheme="minorHAnsi"/>
        </w:rPr>
      </w:pPr>
      <w:r>
        <w:rPr>
          <w:rFonts w:asciiTheme="minorHAnsi" w:hAnsiTheme="minorHAnsi"/>
          <w:b/>
          <w:i/>
        </w:rPr>
        <w:t>Final a</w:t>
      </w:r>
      <w:r w:rsidRPr="00F55FB5">
        <w:rPr>
          <w:rFonts w:asciiTheme="minorHAnsi" w:hAnsiTheme="minorHAnsi"/>
          <w:b/>
          <w:i/>
        </w:rPr>
        <w:t>ssessment</w:t>
      </w:r>
      <w:r>
        <w:rPr>
          <w:rFonts w:asciiTheme="minorHAnsi" w:hAnsiTheme="minorHAnsi"/>
        </w:rPr>
        <w:t xml:space="preserve"> is via a 5000-word essay on a topic of your choice. You </w:t>
      </w:r>
      <w:r w:rsidR="0030040A">
        <w:rPr>
          <w:rFonts w:asciiTheme="minorHAnsi" w:hAnsiTheme="minorHAnsi"/>
        </w:rPr>
        <w:t>will</w:t>
      </w:r>
      <w:r>
        <w:rPr>
          <w:rFonts w:asciiTheme="minorHAnsi" w:hAnsiTheme="minorHAnsi"/>
        </w:rPr>
        <w:t xml:space="preserve"> discuss your title and topic in advance with Dr Kamash and submit a formative essay plan of 1000 words. </w:t>
      </w:r>
    </w:p>
    <w:p w:rsidR="00F55FB5" w:rsidP="006E6166" w:rsidRDefault="00F55FB5" w14:paraId="151E804D" w14:textId="77777777">
      <w:pPr>
        <w:rPr>
          <w:rFonts w:asciiTheme="minorHAnsi" w:hAnsiTheme="minorHAnsi"/>
        </w:rPr>
      </w:pPr>
    </w:p>
    <w:p w:rsidRPr="00F55FB5" w:rsidR="00F55FB5" w:rsidP="006E6166" w:rsidRDefault="00F55FB5" w14:paraId="4E2CCFF5" w14:textId="77777777">
      <w:pPr>
        <w:rPr>
          <w:rFonts w:asciiTheme="minorHAnsi" w:hAnsiTheme="minorHAnsi"/>
        </w:rPr>
      </w:pPr>
      <w:r>
        <w:rPr>
          <w:rFonts w:asciiTheme="minorHAnsi" w:hAnsiTheme="minorHAnsi"/>
        </w:rPr>
        <w:t>You will also be expected to make regular contributions to classes via presentations and general group discussion.</w:t>
      </w:r>
    </w:p>
    <w:p w:rsidR="006E6166" w:rsidP="006E6166" w:rsidRDefault="006E6166" w14:paraId="2832B682" w14:textId="77777777">
      <w:pPr>
        <w:rPr>
          <w:rFonts w:asciiTheme="minorHAnsi" w:hAnsiTheme="minorHAnsi"/>
          <w:b/>
        </w:rPr>
      </w:pPr>
    </w:p>
    <w:p w:rsidRPr="006E6166" w:rsidR="0040769E" w:rsidRDefault="0040769E" w14:paraId="25BEB9CF" w14:textId="77777777">
      <w:pPr>
        <w:rPr>
          <w:b/>
        </w:rPr>
      </w:pPr>
    </w:p>
    <w:sectPr w:rsidRPr="006E6166" w:rsidR="0040769E" w:rsidSect="006E616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7957" w14:textId="77777777" w:rsidR="00953F2B" w:rsidRDefault="00FD0428">
      <w:r>
        <w:separator/>
      </w:r>
    </w:p>
  </w:endnote>
  <w:endnote w:type="continuationSeparator" w:id="0">
    <w:p w14:paraId="606F068B" w14:textId="77777777" w:rsidR="00953F2B" w:rsidRDefault="00FD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F76B" w14:textId="77777777" w:rsidR="00202204" w:rsidRDefault="00202204" w:rsidP="006E6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2286B4" w14:textId="77777777" w:rsidR="00202204" w:rsidRDefault="002022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C26A" w14:textId="77777777" w:rsidR="00202204" w:rsidRDefault="00202204" w:rsidP="006E6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D1D">
      <w:rPr>
        <w:rStyle w:val="PageNumber"/>
        <w:noProof/>
      </w:rPr>
      <w:t>1</w:t>
    </w:r>
    <w:r>
      <w:rPr>
        <w:rStyle w:val="PageNumber"/>
      </w:rPr>
      <w:fldChar w:fldCharType="end"/>
    </w:r>
  </w:p>
  <w:p w14:paraId="279131C7" w14:textId="77777777" w:rsidR="00202204" w:rsidRDefault="002022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F6406" w14:textId="77777777" w:rsidR="00953F2B" w:rsidRDefault="00FD0428">
      <w:r>
        <w:separator/>
      </w:r>
    </w:p>
  </w:footnote>
  <w:footnote w:type="continuationSeparator" w:id="0">
    <w:p w14:paraId="3CDD96D7" w14:textId="77777777" w:rsidR="00953F2B" w:rsidRDefault="00FD04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336F"/>
    <w:multiLevelType w:val="hybridMultilevel"/>
    <w:tmpl w:val="568A4488"/>
    <w:lvl w:ilvl="0" w:tplc="896201E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13C27"/>
    <w:multiLevelType w:val="hybridMultilevel"/>
    <w:tmpl w:val="C35C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F28B2"/>
    <w:multiLevelType w:val="hybridMultilevel"/>
    <w:tmpl w:val="56822286"/>
    <w:lvl w:ilvl="0" w:tplc="3D5675C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42400"/>
    <w:multiLevelType w:val="hybridMultilevel"/>
    <w:tmpl w:val="8F88F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66"/>
    <w:rsid w:val="00105613"/>
    <w:rsid w:val="001C5B72"/>
    <w:rsid w:val="00202204"/>
    <w:rsid w:val="0021685D"/>
    <w:rsid w:val="0030040A"/>
    <w:rsid w:val="0040769E"/>
    <w:rsid w:val="004202FB"/>
    <w:rsid w:val="004310DA"/>
    <w:rsid w:val="00613406"/>
    <w:rsid w:val="006460C0"/>
    <w:rsid w:val="006E6166"/>
    <w:rsid w:val="007933FB"/>
    <w:rsid w:val="00953F2B"/>
    <w:rsid w:val="009D5D1D"/>
    <w:rsid w:val="00BF0DBB"/>
    <w:rsid w:val="00C37D0E"/>
    <w:rsid w:val="00CC20D3"/>
    <w:rsid w:val="00E856D6"/>
    <w:rsid w:val="00F55FB5"/>
    <w:rsid w:val="00FD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C2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6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6166"/>
    <w:pPr>
      <w:widowControl w:val="0"/>
      <w:tabs>
        <w:tab w:val="center" w:pos="4153"/>
        <w:tab w:val="right" w:pos="8306"/>
      </w:tabs>
    </w:pPr>
    <w:rPr>
      <w:rFonts w:ascii="Courier" w:hAnsi="Courier"/>
      <w:snapToGrid w:val="0"/>
      <w:szCs w:val="20"/>
      <w:lang w:val="en-US" w:eastAsia="en-US"/>
    </w:rPr>
  </w:style>
  <w:style w:type="character" w:customStyle="1" w:styleId="FooterChar">
    <w:name w:val="Footer Char"/>
    <w:basedOn w:val="DefaultParagraphFont"/>
    <w:link w:val="Footer"/>
    <w:rsid w:val="006E6166"/>
    <w:rPr>
      <w:rFonts w:ascii="Courier" w:eastAsia="Times New Roman" w:hAnsi="Courier" w:cs="Times New Roman"/>
      <w:snapToGrid w:val="0"/>
      <w:szCs w:val="20"/>
    </w:rPr>
  </w:style>
  <w:style w:type="character" w:styleId="PageNumber">
    <w:name w:val="page number"/>
    <w:basedOn w:val="DefaultParagraphFont"/>
    <w:rsid w:val="006E6166"/>
  </w:style>
  <w:style w:type="paragraph" w:styleId="ListParagraph">
    <w:name w:val="List Paragraph"/>
    <w:basedOn w:val="Normal"/>
    <w:uiPriority w:val="34"/>
    <w:qFormat/>
    <w:rsid w:val="001C5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6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6166"/>
    <w:pPr>
      <w:widowControl w:val="0"/>
      <w:tabs>
        <w:tab w:val="center" w:pos="4153"/>
        <w:tab w:val="right" w:pos="8306"/>
      </w:tabs>
    </w:pPr>
    <w:rPr>
      <w:rFonts w:ascii="Courier" w:hAnsi="Courier"/>
      <w:snapToGrid w:val="0"/>
      <w:szCs w:val="20"/>
      <w:lang w:val="en-US" w:eastAsia="en-US"/>
    </w:rPr>
  </w:style>
  <w:style w:type="character" w:customStyle="1" w:styleId="FooterChar">
    <w:name w:val="Footer Char"/>
    <w:basedOn w:val="DefaultParagraphFont"/>
    <w:link w:val="Footer"/>
    <w:rsid w:val="006E6166"/>
    <w:rPr>
      <w:rFonts w:ascii="Courier" w:eastAsia="Times New Roman" w:hAnsi="Courier" w:cs="Times New Roman"/>
      <w:snapToGrid w:val="0"/>
      <w:szCs w:val="20"/>
    </w:rPr>
  </w:style>
  <w:style w:type="character" w:styleId="PageNumber">
    <w:name w:val="page number"/>
    <w:basedOn w:val="DefaultParagraphFont"/>
    <w:rsid w:val="006E6166"/>
  </w:style>
  <w:style w:type="paragraph" w:styleId="ListParagraph">
    <w:name w:val="List Paragraph"/>
    <w:basedOn w:val="Normal"/>
    <w:uiPriority w:val="34"/>
    <w:qFormat/>
    <w:rsid w:val="001C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CL5192ArchWater_CourseOverview</dc:title>
  <dc:subject>
  </dc:subject>
  <dc:creator>Zena Kamash</dc:creator>
  <cp:keywords>
  </cp:keywords>
  <dc:description>
  </dc:description>
  <cp:lastModifiedBy>Richard Alston</cp:lastModifiedBy>
  <cp:revision>13</cp:revision>
  <dcterms:created xsi:type="dcterms:W3CDTF">2016-08-05T09:55:00Z</dcterms:created>
  <dcterms:modified xsi:type="dcterms:W3CDTF">2016-09-22T17:26:30Z</dcterms:modified>
</cp:coreProperties>
</file>