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FCC" w:rsidRDefault="008A7FCC" w14:paraId="1E3BDDAA" w14:textId="77777777">
      <w:bookmarkStart w:name="_GoBack" w:id="0"/>
      <w:bookmarkEnd w:id="0"/>
      <w:r>
        <w:t>CL2350 (second years)/CL3350 (third years)</w:t>
      </w:r>
    </w:p>
    <w:p w:rsidR="008A7FCC" w:rsidRDefault="008A7FCC" w14:paraId="79B38704" w14:textId="77777777"/>
    <w:p w:rsidRPr="0055120C" w:rsidR="008A7FCC" w:rsidP="0055120C" w:rsidRDefault="008A7FCC" w14:paraId="774F907F" w14:textId="79911319">
      <w:pPr>
        <w:jc w:val="center"/>
        <w:rPr>
          <w:rFonts w:ascii="Apple Chancery" w:hAnsi="Apple Chancery" w:cs="Apple Chancery"/>
          <w:sz w:val="40"/>
        </w:rPr>
      </w:pPr>
      <w:r w:rsidRPr="0055120C">
        <w:rPr>
          <w:rFonts w:ascii="Apple Chancery" w:hAnsi="Apple Chancery" w:cs="Apple Chancery"/>
          <w:sz w:val="40"/>
        </w:rPr>
        <w:t>Gender in Classical Antiquity</w:t>
      </w:r>
      <w:r w:rsidR="00400A33">
        <w:rPr>
          <w:rFonts w:ascii="Apple Chancery" w:hAnsi="Apple Chancery" w:cs="Apple Chancery"/>
          <w:sz w:val="40"/>
        </w:rPr>
        <w:t xml:space="preserve"> 2016-17</w:t>
      </w:r>
    </w:p>
    <w:p w:rsidR="008A7FCC" w:rsidRDefault="008A7FCC" w14:paraId="426755A4" w14:textId="77777777"/>
    <w:p w:rsidR="008A7FCC" w:rsidRDefault="008A7FCC" w14:paraId="114D5803" w14:textId="36246F91">
      <w:r w:rsidRPr="00FC4113">
        <w:rPr>
          <w:rFonts w:ascii="Apple Chancery" w:hAnsi="Apple Chancery" w:cs="Apple Chancery"/>
          <w:b/>
        </w:rPr>
        <w:t>Course leader</w:t>
      </w:r>
      <w:r>
        <w:t>: Dr. Richard Hawley</w:t>
      </w:r>
      <w:r w:rsidR="00FC4113">
        <w:t xml:space="preserve"> </w:t>
      </w:r>
      <w:r w:rsidR="00FC4113">
        <w:tab/>
      </w:r>
      <w:r w:rsidR="00FC4113">
        <w:tab/>
      </w:r>
      <w:r w:rsidRPr="00FC4113" w:rsidR="00FC4113">
        <w:rPr>
          <w:rFonts w:ascii="Apple Chancery" w:hAnsi="Apple Chancery" w:cs="Apple Chancery"/>
          <w:b/>
        </w:rPr>
        <w:t>Value</w:t>
      </w:r>
      <w:r w:rsidR="00FC4113">
        <w:t>: 1 unit = 30 credits</w:t>
      </w:r>
    </w:p>
    <w:p w:rsidR="008A7FCC" w:rsidRDefault="008A7FCC" w14:paraId="5F361FFD" w14:textId="77777777"/>
    <w:p w:rsidR="008A7FCC" w:rsidRDefault="008A7FCC" w14:paraId="3A760FE4" w14:textId="77777777">
      <w:r w:rsidRPr="00FC4113">
        <w:rPr>
          <w:rFonts w:ascii="Apple Chancery" w:hAnsi="Apple Chancery" w:cs="Apple Chancery"/>
          <w:b/>
        </w:rPr>
        <w:t>Course delivery</w:t>
      </w:r>
      <w:r>
        <w:t>: One lecture + one seminar per week</w:t>
      </w:r>
    </w:p>
    <w:p w:rsidR="00DA7D9E" w:rsidRDefault="00DA7D9E" w14:paraId="1D3895A0" w14:textId="3CC21942">
      <w:r>
        <w:t xml:space="preserve">Students </w:t>
      </w:r>
      <w:r w:rsidR="00400A33">
        <w:t>will be expected to work several hours</w:t>
      </w:r>
      <w:r>
        <w:t xml:space="preserve"> each week</w:t>
      </w:r>
      <w:r w:rsidR="00400A33">
        <w:t xml:space="preserve"> outside class</w:t>
      </w:r>
      <w:r>
        <w:t xml:space="preserve"> </w:t>
      </w:r>
      <w:r w:rsidR="00FC4113">
        <w:t xml:space="preserve">in advance </w:t>
      </w:r>
      <w:r>
        <w:t>for seminars, using the course sourcebook, seminar worksheets, and Moodle learning resources.</w:t>
      </w:r>
    </w:p>
    <w:p w:rsidR="008A7FCC" w:rsidRDefault="00400A33" w14:paraId="364A1049" w14:textId="1EFE6F33">
      <w:r>
        <w:t>Second and third year students share the same weekly lecture, but will be split into year-specific seminar groups, to be determined at t</w:t>
      </w:r>
      <w:r w:rsidR="00F80C9A">
        <w:t>he start of the course. Please note: y</w:t>
      </w:r>
      <w:r>
        <w:t>ou will only be in ONE of the two seminar groups for each year group given on the timetable.</w:t>
      </w:r>
      <w:r w:rsidR="00B45F44">
        <w:t xml:space="preserve"> I shall try my best to suit your preferences, which I shall ask for in the first session, but the classes have to be roughly the same size, so this may not always be possible. I shall, however, take into account valid timetable clashes with other courses, when I am notified of them.</w:t>
      </w:r>
    </w:p>
    <w:p w:rsidR="00400A33" w:rsidRDefault="00400A33" w14:paraId="4D968C82" w14:textId="1FC67224">
      <w:r>
        <w:t>Dr. Hawley will deliver all the lectures and seminars himself.</w:t>
      </w:r>
    </w:p>
    <w:p w:rsidRPr="00ED545E" w:rsidR="00400A33" w:rsidRDefault="00400A33" w14:paraId="221229E4" w14:textId="77777777"/>
    <w:p w:rsidRPr="00DA7D9E" w:rsidR="008A7FCC" w:rsidRDefault="008A7FCC" w14:paraId="525F9616" w14:textId="77777777">
      <w:pPr>
        <w:rPr>
          <w:rFonts w:ascii="Apple Chancery" w:hAnsi="Apple Chancery" w:cs="Apple Chancery"/>
          <w:b/>
        </w:rPr>
      </w:pPr>
      <w:r w:rsidRPr="00DA7D9E">
        <w:rPr>
          <w:rFonts w:ascii="Apple Chancery" w:hAnsi="Apple Chancery" w:cs="Apple Chancery"/>
          <w:b/>
        </w:rPr>
        <w:t>Topics covered include:</w:t>
      </w:r>
    </w:p>
    <w:p w:rsidR="008A7FCC" w:rsidP="0055120C" w:rsidRDefault="008A7FCC" w14:paraId="380DB477" w14:textId="77777777">
      <w:pPr>
        <w:numPr>
          <w:ilvl w:val="0"/>
          <w:numId w:val="1"/>
        </w:numPr>
      </w:pPr>
      <w:r>
        <w:t>Introduction to concepts of sex &amp; gender: then and now</w:t>
      </w:r>
    </w:p>
    <w:p w:rsidR="008A7FCC" w:rsidP="0055120C" w:rsidRDefault="008A7FCC" w14:paraId="00D11758" w14:textId="77777777">
      <w:pPr>
        <w:numPr>
          <w:ilvl w:val="0"/>
          <w:numId w:val="1"/>
        </w:numPr>
      </w:pPr>
      <w:r>
        <w:t>Archaic Greek images of gender: Homer, Hesiod, Sappho, satire</w:t>
      </w:r>
    </w:p>
    <w:p w:rsidR="008A7FCC" w:rsidP="0055120C" w:rsidRDefault="00FC4113" w14:paraId="707943D6" w14:textId="4BAA703F">
      <w:pPr>
        <w:numPr>
          <w:ilvl w:val="0"/>
          <w:numId w:val="1"/>
        </w:numPr>
      </w:pPr>
      <w:r>
        <w:t>Gender</w:t>
      </w:r>
      <w:r w:rsidR="008A7FCC">
        <w:t xml:space="preserve"> in Greek law: Athens, Sparta, Gortyn</w:t>
      </w:r>
    </w:p>
    <w:p w:rsidR="008A7FCC" w:rsidP="0055120C" w:rsidRDefault="008A7FCC" w14:paraId="772C63C6" w14:textId="77777777">
      <w:pPr>
        <w:numPr>
          <w:ilvl w:val="0"/>
          <w:numId w:val="1"/>
        </w:numPr>
      </w:pPr>
      <w:r>
        <w:t>Classical Athenian drama: tragedy, comedy</w:t>
      </w:r>
    </w:p>
    <w:p w:rsidR="008A7FCC" w:rsidP="0055120C" w:rsidRDefault="008A7FCC" w14:paraId="7CFC920C" w14:textId="77777777">
      <w:pPr>
        <w:numPr>
          <w:ilvl w:val="0"/>
          <w:numId w:val="1"/>
        </w:numPr>
      </w:pPr>
      <w:r>
        <w:t>Gender and Greek religion</w:t>
      </w:r>
    </w:p>
    <w:p w:rsidR="00ED545E" w:rsidP="0055120C" w:rsidRDefault="00ED545E" w14:paraId="5C010A78" w14:textId="2EFB80E0">
      <w:pPr>
        <w:numPr>
          <w:ilvl w:val="0"/>
          <w:numId w:val="1"/>
        </w:numPr>
      </w:pPr>
      <w:r>
        <w:t>Sexualities</w:t>
      </w:r>
    </w:p>
    <w:p w:rsidR="008A7FCC" w:rsidP="0055120C" w:rsidRDefault="008A7FCC" w14:paraId="007BBE97" w14:textId="77777777">
      <w:pPr>
        <w:numPr>
          <w:ilvl w:val="0"/>
          <w:numId w:val="1"/>
        </w:numPr>
      </w:pPr>
      <w:r>
        <w:t>Greco-Roman philosophy: Plato, Aristotle, Stoics</w:t>
      </w:r>
    </w:p>
    <w:p w:rsidR="008A7FCC" w:rsidP="0055120C" w:rsidRDefault="008A7FCC" w14:paraId="264B4D72" w14:textId="77777777">
      <w:pPr>
        <w:numPr>
          <w:ilvl w:val="0"/>
          <w:numId w:val="1"/>
        </w:numPr>
      </w:pPr>
      <w:r>
        <w:t>Greco-Roman medical thought: Hippocratics, Aristotle, Soranus, Galen</w:t>
      </w:r>
    </w:p>
    <w:p w:rsidR="008A7FCC" w:rsidP="0055120C" w:rsidRDefault="00DA7D9E" w14:paraId="31E6D6CC" w14:textId="07B0403A">
      <w:pPr>
        <w:numPr>
          <w:ilvl w:val="0"/>
          <w:numId w:val="1"/>
        </w:numPr>
      </w:pPr>
      <w:r>
        <w:t>Ideals</w:t>
      </w:r>
      <w:r w:rsidR="008A7FCC">
        <w:t xml:space="preserve"> </w:t>
      </w:r>
      <w:r>
        <w:t xml:space="preserve">of </w:t>
      </w:r>
      <w:r w:rsidR="008A7FCC">
        <w:t xml:space="preserve">female and male </w:t>
      </w:r>
      <w:r>
        <w:t>sexed bodies &amp; dress</w:t>
      </w:r>
      <w:r w:rsidR="008A7FCC">
        <w:t xml:space="preserve"> in Greco-Roman culture</w:t>
      </w:r>
    </w:p>
    <w:p w:rsidR="008A7FCC" w:rsidP="0055120C" w:rsidRDefault="00ED545E" w14:paraId="7FCB20EA" w14:textId="2FAEB275">
      <w:pPr>
        <w:numPr>
          <w:ilvl w:val="0"/>
          <w:numId w:val="1"/>
        </w:numPr>
      </w:pPr>
      <w:r>
        <w:t>Gender in the Hellenistic period</w:t>
      </w:r>
    </w:p>
    <w:p w:rsidR="008A7FCC" w:rsidP="0055120C" w:rsidRDefault="00FC4113" w14:paraId="2EBAC089" w14:textId="115A653E">
      <w:pPr>
        <w:numPr>
          <w:ilvl w:val="0"/>
          <w:numId w:val="1"/>
        </w:numPr>
      </w:pPr>
      <w:r>
        <w:t>Gender</w:t>
      </w:r>
      <w:r w:rsidR="008A7FCC">
        <w:t xml:space="preserve"> in early Roman history: Livy</w:t>
      </w:r>
    </w:p>
    <w:p w:rsidR="008A7FCC" w:rsidP="0055120C" w:rsidRDefault="008A7FCC" w14:paraId="4D790BE1" w14:textId="77777777">
      <w:pPr>
        <w:numPr>
          <w:ilvl w:val="0"/>
          <w:numId w:val="1"/>
        </w:numPr>
      </w:pPr>
      <w:r>
        <w:t>Roman law &amp; gender</w:t>
      </w:r>
    </w:p>
    <w:p w:rsidR="008A7FCC" w:rsidP="0055120C" w:rsidRDefault="008A7FCC" w14:paraId="37C994D9" w14:textId="77777777">
      <w:pPr>
        <w:numPr>
          <w:ilvl w:val="0"/>
          <w:numId w:val="1"/>
        </w:numPr>
      </w:pPr>
      <w:r>
        <w:t>The Roman Republic: growing immorality?</w:t>
      </w:r>
    </w:p>
    <w:p w:rsidR="008A7FCC" w:rsidP="0055120C" w:rsidRDefault="008A7FCC" w14:paraId="4B602811" w14:textId="6E8BCC69">
      <w:pPr>
        <w:numPr>
          <w:ilvl w:val="0"/>
          <w:numId w:val="1"/>
        </w:numPr>
      </w:pPr>
      <w:r>
        <w:t>Early Roman</w:t>
      </w:r>
      <w:r w:rsidR="009C08A0">
        <w:t xml:space="preserve"> Empire: Augustus' moral reforms; </w:t>
      </w:r>
      <w:r>
        <w:t>Antony &amp; Cleopatra</w:t>
      </w:r>
    </w:p>
    <w:p w:rsidR="008A7FCC" w:rsidP="0055120C" w:rsidRDefault="008A7FCC" w14:paraId="42EDE8D8" w14:textId="77777777">
      <w:pPr>
        <w:numPr>
          <w:ilvl w:val="0"/>
          <w:numId w:val="1"/>
        </w:numPr>
      </w:pPr>
      <w:r>
        <w:t>Gender and Roman religion</w:t>
      </w:r>
    </w:p>
    <w:p w:rsidR="008A7FCC" w:rsidP="0055120C" w:rsidRDefault="008A7FCC" w14:paraId="3C0A8A0D" w14:textId="042DD295">
      <w:pPr>
        <w:numPr>
          <w:ilvl w:val="0"/>
          <w:numId w:val="1"/>
        </w:numPr>
      </w:pPr>
      <w:r>
        <w:t xml:space="preserve">Roman love: sexuality, </w:t>
      </w:r>
      <w:r w:rsidR="009C08A0">
        <w:t xml:space="preserve">power, </w:t>
      </w:r>
      <w:r>
        <w:t>poetry &amp; philosophy</w:t>
      </w:r>
    </w:p>
    <w:p w:rsidR="0055120C" w:rsidP="0055120C" w:rsidRDefault="0055120C" w14:paraId="7B5ED78E" w14:textId="77777777">
      <w:pPr>
        <w:numPr>
          <w:ilvl w:val="0"/>
          <w:numId w:val="1"/>
        </w:numPr>
      </w:pPr>
      <w:r>
        <w:t>Studying Roman family relations</w:t>
      </w:r>
    </w:p>
    <w:p w:rsidR="008A7FCC" w:rsidP="0055120C" w:rsidRDefault="008A7FCC" w14:paraId="008063B1" w14:textId="77777777">
      <w:pPr>
        <w:numPr>
          <w:ilvl w:val="0"/>
          <w:numId w:val="1"/>
        </w:numPr>
      </w:pPr>
      <w:r>
        <w:t>Recent (and not so recent!) trends in studying Greco-Roman gender</w:t>
      </w:r>
    </w:p>
    <w:p w:rsidR="00DA7D9E" w:rsidP="00DA7D9E" w:rsidRDefault="00DA7D9E" w14:paraId="7315DD51" w14:textId="07404A6A">
      <w:pPr>
        <w:ind w:left="360"/>
      </w:pPr>
      <w:r>
        <w:t>The course covers the time period c.800 B.C. to c.150 A.D. It does not cover ancient Egypt, nor does it deal in any depth with gender in early Christian thought. All texts are discussed in English translation, so no knowledge of anc</w:t>
      </w:r>
      <w:r w:rsidR="00400A33">
        <w:t>ient Greek or Latin is required, but you can by all means use it in coursework and the exam if you have it.</w:t>
      </w:r>
    </w:p>
    <w:p w:rsidR="00DA7D9E" w:rsidP="0055120C" w:rsidRDefault="00DA7D9E" w14:paraId="530B49AA" w14:textId="77777777"/>
    <w:p w:rsidR="00FC74CA" w:rsidP="0055120C" w:rsidRDefault="00FC74CA" w14:paraId="4BC1D5D0" w14:textId="77777777"/>
    <w:p w:rsidR="00FC74CA" w:rsidP="0055120C" w:rsidRDefault="00FC74CA" w14:paraId="663472FD" w14:textId="77777777"/>
    <w:p w:rsidR="00DA7D9E" w:rsidP="0055120C" w:rsidRDefault="008A7FCC" w14:paraId="207A0F19" w14:textId="4EB59CC9">
      <w:r w:rsidRPr="0055120C">
        <w:rPr>
          <w:rFonts w:ascii="Apple Chancery" w:hAnsi="Apple Chancery" w:cs="Apple Chancery"/>
          <w:b/>
        </w:rPr>
        <w:t>Assessment</w:t>
      </w:r>
    </w:p>
    <w:p w:rsidR="00DA7D9E" w:rsidP="0055120C" w:rsidRDefault="008A7FCC" w14:paraId="47F2E5AE" w14:textId="2D2637C2">
      <w:pPr>
        <w:pStyle w:val="ListParagraph"/>
        <w:numPr>
          <w:ilvl w:val="0"/>
          <w:numId w:val="3"/>
        </w:numPr>
      </w:pPr>
      <w:r>
        <w:lastRenderedPageBreak/>
        <w:t xml:space="preserve">two coursework essays, </w:t>
      </w:r>
      <w:r w:rsidR="000B13AB">
        <w:t xml:space="preserve">each </w:t>
      </w:r>
      <w:r w:rsidR="00DA7D9E">
        <w:t xml:space="preserve">2500-3000 words, </w:t>
      </w:r>
      <w:r w:rsidR="00FC4113">
        <w:t>one per term</w:t>
      </w:r>
      <w:r w:rsidR="00400A33">
        <w:t xml:space="preserve"> (deadlines to be announced at the start of the course)</w:t>
      </w:r>
      <w:r w:rsidR="00FC4113">
        <w:t>;</w:t>
      </w:r>
      <w:r>
        <w:t xml:space="preserve"> </w:t>
      </w:r>
      <w:r w:rsidR="00DA7D9E">
        <w:t xml:space="preserve">both must be submitted but the </w:t>
      </w:r>
      <w:r>
        <w:t xml:space="preserve">better </w:t>
      </w:r>
      <w:r w:rsidR="0055120C">
        <w:t xml:space="preserve">mark </w:t>
      </w:r>
      <w:r w:rsidR="00FC4113">
        <w:t>provides</w:t>
      </w:r>
      <w:r w:rsidR="00DA7D9E">
        <w:t xml:space="preserve"> </w:t>
      </w:r>
      <w:r>
        <w:t>20%</w:t>
      </w:r>
      <w:r w:rsidR="00DA7D9E">
        <w:t xml:space="preserve"> of the assessment</w:t>
      </w:r>
      <w:r w:rsidR="00400A33">
        <w:t>. Essay titles will be distributed at the start of the course on t</w:t>
      </w:r>
      <w:r w:rsidR="00F80C9A">
        <w:t xml:space="preserve">he course Moodle page: there is </w:t>
      </w:r>
      <w:r w:rsidR="00400A33">
        <w:t>a good degree of choice. Second and third year students have different essay assignments to reflect difference of level.</w:t>
      </w:r>
    </w:p>
    <w:p w:rsidR="008A7FCC" w:rsidP="0055120C" w:rsidRDefault="008A7FCC" w14:paraId="20353156" w14:textId="1719D383">
      <w:pPr>
        <w:pStyle w:val="ListParagraph"/>
        <w:numPr>
          <w:ilvl w:val="0"/>
          <w:numId w:val="3"/>
        </w:numPr>
      </w:pPr>
      <w:r>
        <w:t>one 3-hour exam</w:t>
      </w:r>
      <w:r w:rsidR="00FC4113">
        <w:t xml:space="preserve"> in Summer Term provides</w:t>
      </w:r>
      <w:r w:rsidR="00DA7D9E">
        <w:t xml:space="preserve"> the remaining</w:t>
      </w:r>
      <w:r>
        <w:t xml:space="preserve"> 80%</w:t>
      </w:r>
      <w:r w:rsidR="000B13AB">
        <w:t>.</w:t>
      </w:r>
      <w:r w:rsidR="00F80C9A">
        <w:t xml:space="preserve"> Second and third year students have different exams to reflect difference of level.</w:t>
      </w:r>
    </w:p>
    <w:p w:rsidR="00400A33" w:rsidP="0055120C" w:rsidRDefault="00400A33" w14:paraId="11AC2644" w14:textId="77777777">
      <w:pPr>
        <w:rPr>
          <w:rFonts w:ascii="Apple Chancery" w:hAnsi="Apple Chancery" w:cs="Apple Chancery"/>
          <w:b/>
        </w:rPr>
      </w:pPr>
    </w:p>
    <w:p w:rsidRPr="0055120C" w:rsidR="008A7FCC" w:rsidP="0055120C" w:rsidRDefault="00ED545E" w14:paraId="50C0F86D" w14:textId="00D6E256">
      <w:pPr>
        <w:rPr>
          <w:rFonts w:ascii="Apple Chancery" w:hAnsi="Apple Chancery" w:cs="Apple Chancery"/>
          <w:b/>
        </w:rPr>
      </w:pPr>
      <w:r>
        <w:rPr>
          <w:rFonts w:ascii="Apple Chancery" w:hAnsi="Apple Chancery" w:cs="Apple Chancery"/>
          <w:b/>
        </w:rPr>
        <w:t>Required course textbook</w:t>
      </w:r>
    </w:p>
    <w:p w:rsidRPr="00770E37" w:rsidR="008A7FCC" w:rsidP="0055120C" w:rsidRDefault="008A7FCC" w14:paraId="160754C7" w14:textId="334F3133">
      <w:pPr>
        <w:numPr>
          <w:ilvl w:val="0"/>
          <w:numId w:val="2"/>
        </w:numPr>
        <w:tabs>
          <w:tab w:val="left" w:pos="1440"/>
          <w:tab w:val="left" w:pos="5801"/>
        </w:tabs>
        <w:spacing w:line="227" w:lineRule="auto"/>
      </w:pPr>
      <w:r w:rsidRPr="00770E37">
        <w:t>M.R. Lefkowitz &amp; M.B. Fant (eds.)</w:t>
      </w:r>
      <w:r w:rsidRPr="00770E37">
        <w:rPr>
          <w:i/>
        </w:rPr>
        <w:t>: Women’s Lives in Greece &amp; Rome</w:t>
      </w:r>
      <w:r w:rsidR="00FC74CA">
        <w:t xml:space="preserve"> (</w:t>
      </w:r>
      <w:r w:rsidRPr="00FC74CA" w:rsidR="00FC74CA">
        <w:rPr>
          <w:b/>
        </w:rPr>
        <w:t>3rd</w:t>
      </w:r>
      <w:r w:rsidR="00FC74CA">
        <w:t xml:space="preserve"> ed., </w:t>
      </w:r>
      <w:r w:rsidRPr="00770E37">
        <w:t>Duckworth 2005</w:t>
      </w:r>
      <w:r w:rsidR="00F80C9A">
        <w:t xml:space="preserve">, to be reprinted </w:t>
      </w:r>
      <w:r w:rsidR="00FC74CA">
        <w:t xml:space="preserve">again in </w:t>
      </w:r>
      <w:r w:rsidR="00F80C9A">
        <w:t>summer 2016; about £29 paperback, but cheaper secondhand copies should be available</w:t>
      </w:r>
      <w:r w:rsidRPr="00770E37">
        <w:t xml:space="preserve">) – </w:t>
      </w:r>
      <w:r w:rsidRPr="00400A33">
        <w:rPr>
          <w:b/>
        </w:rPr>
        <w:t>you must have your own copy of this sourcebook, as you’ll be using it every week</w:t>
      </w:r>
      <w:r w:rsidRPr="00770E37">
        <w:t>.</w:t>
      </w:r>
      <w:r w:rsidR="00FC74CA">
        <w:t xml:space="preserve"> Do NOT get the first edition (all purple cover, no picture) or second edition (red cover). The recent front cover for the third edition has a purple top half over a picture of a wall relief, and clearly says ‘third edition’ at the top in black: that’s the one to go for, or the new 2016 reprint which may have a bright multi-coloured cover.</w:t>
      </w:r>
    </w:p>
    <w:p w:rsidR="008A7FCC" w:rsidP="0055120C" w:rsidRDefault="008A7FCC" w14:paraId="7E412C83" w14:textId="7A71C251"/>
    <w:p w:rsidRPr="00400A33" w:rsidR="00400A33" w:rsidP="0055120C" w:rsidRDefault="00400A33" w14:paraId="1CAA488B" w14:textId="6B2605EC">
      <w:pPr>
        <w:rPr>
          <w:rFonts w:ascii="Apple Chancery" w:hAnsi="Apple Chancery" w:cs="Apple Chancery"/>
          <w:b/>
        </w:rPr>
      </w:pPr>
      <w:r w:rsidRPr="00400A33">
        <w:rPr>
          <w:rFonts w:ascii="Apple Chancery" w:hAnsi="Apple Chancery" w:cs="Apple Chancery"/>
          <w:b/>
        </w:rPr>
        <w:t>Course Moodle page</w:t>
      </w:r>
      <w:r>
        <w:rPr>
          <w:rFonts w:ascii="Apple Chancery" w:hAnsi="Apple Chancery" w:cs="Apple Chancery"/>
          <w:b/>
        </w:rPr>
        <w:t xml:space="preserve"> &amp; handouts</w:t>
      </w:r>
    </w:p>
    <w:p w:rsidR="00400A33" w:rsidP="0055120C" w:rsidRDefault="00400A33" w14:paraId="324441E9" w14:textId="1586313F">
      <w:r>
        <w:t>The Moodle page will not be available until just before the start of the academic year, when course registrations are finalised and College ‘rolls over’ the Moodle pages for the next intake.</w:t>
      </w:r>
    </w:p>
    <w:p w:rsidR="00400A33" w:rsidP="0055120C" w:rsidRDefault="00400A33" w14:paraId="30645067" w14:textId="0C8A34B4">
      <w:r>
        <w:t xml:space="preserve">The course page contains a large number of extra learning resources, including the secondary scholarship that you will be expected to read and think </w:t>
      </w:r>
      <w:r w:rsidR="00F80C9A">
        <w:t>a</w:t>
      </w:r>
      <w:r>
        <w:t>bout each week for seminar discussion, so you won’t need to access it in the library.</w:t>
      </w:r>
    </w:p>
    <w:p w:rsidR="00400A33" w:rsidP="0055120C" w:rsidRDefault="00400A33" w14:paraId="5B26CC28" w14:textId="45E44D7B">
      <w:r w:rsidRPr="00400A33">
        <w:rPr>
          <w:b/>
        </w:rPr>
        <w:t>The page also includes all the lecture handouts and seminar worksheets</w:t>
      </w:r>
      <w:r>
        <w:t xml:space="preserve">: </w:t>
      </w:r>
      <w:r w:rsidRPr="00400A33">
        <w:rPr>
          <w:b/>
        </w:rPr>
        <w:t>you will be expected to access these electronically or to bring along your own printed hard copies to lectures and seminars</w:t>
      </w:r>
      <w:r>
        <w:t>. Paper copies will not be distributed in class. This is in line with the College’s sustainability policy.</w:t>
      </w:r>
    </w:p>
    <w:p w:rsidR="00400A33" w:rsidP="0055120C" w:rsidRDefault="00400A33" w14:paraId="4BADBD29" w14:textId="77777777"/>
    <w:p w:rsidRPr="00400A33" w:rsidR="00400A33" w:rsidP="0055120C" w:rsidRDefault="00400A33" w14:paraId="627D3203" w14:textId="5100F8A8">
      <w:pPr>
        <w:rPr>
          <w:rFonts w:ascii="Apple Chancery" w:hAnsi="Apple Chancery" w:cs="Apple Chancery"/>
          <w:b/>
        </w:rPr>
      </w:pPr>
      <w:r w:rsidRPr="00400A33">
        <w:rPr>
          <w:rFonts w:ascii="Apple Chancery" w:hAnsi="Apple Chancery" w:cs="Apple Chancery"/>
          <w:b/>
        </w:rPr>
        <w:t xml:space="preserve">Second Year </w:t>
      </w:r>
      <w:r>
        <w:rPr>
          <w:rFonts w:ascii="Apple Chancery" w:hAnsi="Apple Chancery" w:cs="Apple Chancery"/>
          <w:b/>
        </w:rPr>
        <w:t xml:space="preserve">Gender </w:t>
      </w:r>
      <w:r w:rsidRPr="00400A33">
        <w:rPr>
          <w:rFonts w:ascii="Apple Chancery" w:hAnsi="Apple Chancery" w:cs="Apple Chancery"/>
          <w:b/>
        </w:rPr>
        <w:t>Projects</w:t>
      </w:r>
    </w:p>
    <w:p w:rsidR="000B13AB" w:rsidP="0055120C" w:rsidRDefault="000B13AB" w14:paraId="14F784FF" w14:textId="6863A013">
      <w:r>
        <w:t>Linked Second Year project</w:t>
      </w:r>
      <w:r w:rsidR="00400A33">
        <w:t>s are available for this course: please see the separate document.</w:t>
      </w:r>
    </w:p>
    <w:p w:rsidR="00F80C9A" w:rsidP="0055120C" w:rsidRDefault="00F80C9A" w14:paraId="0BC57FC0" w14:textId="77777777"/>
    <w:p w:rsidRPr="00B45F44" w:rsidR="00F80C9A" w:rsidP="0055120C" w:rsidRDefault="00F80C9A" w14:paraId="32C29808" w14:textId="6FD6DE88">
      <w:pPr>
        <w:rPr>
          <w:rFonts w:ascii="Apple Chancery" w:hAnsi="Apple Chancery" w:cs="Apple Chancery"/>
          <w:b/>
        </w:rPr>
      </w:pPr>
      <w:r w:rsidRPr="00B45F44">
        <w:rPr>
          <w:rFonts w:ascii="Apple Chancery" w:hAnsi="Apple Chancery" w:cs="Apple Chancery"/>
          <w:b/>
        </w:rPr>
        <w:t>Suggested vacation work</w:t>
      </w:r>
    </w:p>
    <w:p w:rsidR="00F80C9A" w:rsidP="0055120C" w:rsidRDefault="00F80C9A" w14:paraId="6E4F35FB" w14:textId="3B4B556F">
      <w:r>
        <w:t>There is no required summer reading. Instead I recommend that you read around generally in any Greek or Roman topic that interests you and might relate to other modules you will be taking next year. Gender permeates all ancient evidence and culture, so anything you read will help to widen your understanding of Greco-Roman culture.</w:t>
      </w:r>
    </w:p>
    <w:p w:rsidR="00F80C9A" w:rsidP="0055120C" w:rsidRDefault="00F80C9A" w14:paraId="5419615C" w14:textId="0B43DEBB">
      <w:r>
        <w:t>However if you do want to read something gender-specific, then any of the following would be useful:</w:t>
      </w:r>
    </w:p>
    <w:p w:rsidR="00F80C9A" w:rsidP="00FC74CA" w:rsidRDefault="00F80C9A" w14:paraId="6CB8DEAF" w14:textId="43962694">
      <w:pPr>
        <w:pStyle w:val="ListParagraph"/>
        <w:numPr>
          <w:ilvl w:val="0"/>
          <w:numId w:val="4"/>
        </w:numPr>
      </w:pPr>
      <w:r>
        <w:t xml:space="preserve">L. Foxhall </w:t>
      </w:r>
      <w:r w:rsidRPr="00FC74CA">
        <w:rPr>
          <w:i/>
        </w:rPr>
        <w:t>Studying gender in classical antiquity</w:t>
      </w:r>
      <w:r>
        <w:t>, Cambridge University Press 2013</w:t>
      </w:r>
      <w:r w:rsidR="00B45F44">
        <w:t xml:space="preserve"> (a recent study, with a focus on material evidence)</w:t>
      </w:r>
    </w:p>
    <w:p w:rsidR="00F80C9A" w:rsidP="00FC74CA" w:rsidRDefault="00F80C9A" w14:paraId="1A73198B" w14:textId="7252C485">
      <w:pPr>
        <w:pStyle w:val="ListParagraph"/>
        <w:numPr>
          <w:ilvl w:val="0"/>
          <w:numId w:val="4"/>
        </w:numPr>
      </w:pPr>
      <w:r>
        <w:t xml:space="preserve">B. Holmes </w:t>
      </w:r>
      <w:r w:rsidRPr="00FC74CA">
        <w:rPr>
          <w:i/>
        </w:rPr>
        <w:t>Gender: antiquity and its legacy</w:t>
      </w:r>
      <w:r>
        <w:t>, I.B. Tauris &amp; Co. 2012</w:t>
      </w:r>
      <w:r w:rsidR="00B45F44">
        <w:t xml:space="preserve"> (looking at how ancient ideas are received in more modern times)</w:t>
      </w:r>
    </w:p>
    <w:p w:rsidR="00B45F44" w:rsidP="00FC74CA" w:rsidRDefault="00B45F44" w14:paraId="0718E6DA" w14:textId="2B7BD137">
      <w:pPr>
        <w:pStyle w:val="ListParagraph"/>
        <w:numPr>
          <w:ilvl w:val="0"/>
          <w:numId w:val="4"/>
        </w:numPr>
      </w:pPr>
      <w:r>
        <w:t xml:space="preserve">S. B. Pomeroy </w:t>
      </w:r>
      <w:r w:rsidRPr="00FC74CA">
        <w:rPr>
          <w:i/>
        </w:rPr>
        <w:t>Goddesses, Whores, Wives &amp; Slaves: women in classical antiquity</w:t>
      </w:r>
      <w:r>
        <w:t xml:space="preserve">, Bodley Head 2015 (and many earlier editions since 1975, including </w:t>
      </w:r>
      <w:r>
        <w:lastRenderedPageBreak/>
        <w:t>one recently by Pimlico Press, which you can find cheaply secondhand on Amazon). This is the first real study of classical women’s lives. It has a (feminist) perspective very much of its time, but has a lot of basic sound material.</w:t>
      </w:r>
    </w:p>
    <w:p w:rsidR="00B45F44" w:rsidP="00FC74CA" w:rsidRDefault="00B45F44" w14:paraId="0183A6DE" w14:textId="4815F2D6">
      <w:pPr>
        <w:pStyle w:val="ListParagraph"/>
        <w:numPr>
          <w:ilvl w:val="0"/>
          <w:numId w:val="4"/>
        </w:numPr>
      </w:pPr>
      <w:r>
        <w:t xml:space="preserve">E. Fantham &amp; others </w:t>
      </w:r>
      <w:r w:rsidRPr="00FC74CA">
        <w:rPr>
          <w:i/>
        </w:rPr>
        <w:t>Women in the Classical World: image and text</w:t>
      </w:r>
      <w:r>
        <w:t>, Oxford University Press 1995 (has a wealth of visual material and helpful, brief chapter surveys).</w:t>
      </w:r>
    </w:p>
    <w:p w:rsidR="00F80C9A" w:rsidP="0055120C" w:rsidRDefault="00F80C9A" w14:paraId="0748DA5F" w14:textId="77777777"/>
    <w:p w:rsidR="00FC74CA" w:rsidP="0055120C" w:rsidRDefault="00FC74CA" w14:paraId="0C8A3C6D" w14:textId="77777777"/>
    <w:p w:rsidR="00F80C9A" w:rsidP="0055120C" w:rsidRDefault="00F80C9A" w14:paraId="10EE1421" w14:textId="1886F083">
      <w:r>
        <w:t>If you have any queries, please do email me. Otherwise I look forward to seeing you in the autumn.</w:t>
      </w:r>
    </w:p>
    <w:p w:rsidR="00FC74CA" w:rsidP="0055120C" w:rsidRDefault="00FC74CA" w14:paraId="2E3CDD2B" w14:textId="77777777"/>
    <w:p w:rsidR="00FC74CA" w:rsidP="0055120C" w:rsidRDefault="00FC74CA" w14:paraId="6FFD7D9B" w14:textId="77777777"/>
    <w:p w:rsidR="00FC74CA" w:rsidP="0055120C" w:rsidRDefault="00FC74CA" w14:paraId="6AC88BFB" w14:textId="77777777"/>
    <w:p w:rsidR="00FC74CA" w:rsidP="0055120C" w:rsidRDefault="00FC74CA" w14:paraId="2AAF12F2" w14:textId="77777777"/>
    <w:p w:rsidRPr="00770E37" w:rsidR="00FC74CA" w:rsidP="0055120C" w:rsidRDefault="00FC74CA" w14:paraId="1976A402" w14:textId="777EAF40">
      <w:r>
        <w:t>RGH 5/2016</w:t>
      </w:r>
    </w:p>
    <w:sectPr w:rsidRPr="00770E37" w:rsidR="00FC74CA" w:rsidSect="0055120C">
      <w:headerReference w:type="even" r:id="rId7"/>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E896B" w14:textId="77777777" w:rsidR="00B45F44" w:rsidRDefault="00B45F44" w:rsidP="00400A33">
      <w:r>
        <w:separator/>
      </w:r>
    </w:p>
  </w:endnote>
  <w:endnote w:type="continuationSeparator" w:id="0">
    <w:p w14:paraId="0370264A" w14:textId="77777777" w:rsidR="00B45F44" w:rsidRDefault="00B45F44" w:rsidP="0040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48117" w14:textId="77777777" w:rsidR="00B45F44" w:rsidRDefault="00B45F44" w:rsidP="00400A33">
      <w:r>
        <w:separator/>
      </w:r>
    </w:p>
  </w:footnote>
  <w:footnote w:type="continuationSeparator" w:id="0">
    <w:p w14:paraId="2B19CAE3" w14:textId="77777777" w:rsidR="00B45F44" w:rsidRDefault="00B45F44" w:rsidP="00400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3780" w14:textId="77777777" w:rsidR="00B45F44" w:rsidRDefault="00B45F44" w:rsidP="00400A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50B76B" w14:textId="77777777" w:rsidR="00B45F44" w:rsidRDefault="00B45F44" w:rsidP="00400A3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C78BF" w14:textId="77777777" w:rsidR="00B45F44" w:rsidRDefault="00B45F44" w:rsidP="00400A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45E8">
      <w:rPr>
        <w:rStyle w:val="PageNumber"/>
        <w:noProof/>
      </w:rPr>
      <w:t>1</w:t>
    </w:r>
    <w:r>
      <w:rPr>
        <w:rStyle w:val="PageNumber"/>
      </w:rPr>
      <w:fldChar w:fldCharType="end"/>
    </w:r>
  </w:p>
  <w:p w14:paraId="3AF18A89" w14:textId="77777777" w:rsidR="00B45F44" w:rsidRDefault="00B45F44" w:rsidP="00400A3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8A9"/>
    <w:multiLevelType w:val="hybridMultilevel"/>
    <w:tmpl w:val="8D22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6158B"/>
    <w:multiLevelType w:val="hybridMultilevel"/>
    <w:tmpl w:val="54E2C6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AB66AB"/>
    <w:multiLevelType w:val="hybridMultilevel"/>
    <w:tmpl w:val="8A52F526"/>
    <w:lvl w:ilvl="0" w:tplc="00010409">
      <w:start w:val="1"/>
      <w:numFmt w:val="bullet"/>
      <w:lvlText w:val=""/>
      <w:lvlJc w:val="left"/>
      <w:pPr>
        <w:tabs>
          <w:tab w:val="num" w:pos="644"/>
        </w:tabs>
        <w:ind w:left="644"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311B5B"/>
    <w:multiLevelType w:val="hybridMultilevel"/>
    <w:tmpl w:val="710A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1C"/>
    <w:rsid w:val="000B13AB"/>
    <w:rsid w:val="00400A33"/>
    <w:rsid w:val="005313F2"/>
    <w:rsid w:val="0055120C"/>
    <w:rsid w:val="006A45E8"/>
    <w:rsid w:val="006D7F1C"/>
    <w:rsid w:val="008A7FCC"/>
    <w:rsid w:val="009C08A0"/>
    <w:rsid w:val="00AC061A"/>
    <w:rsid w:val="00B45F44"/>
    <w:rsid w:val="00DA7D9E"/>
    <w:rsid w:val="00EA63E1"/>
    <w:rsid w:val="00ED545E"/>
    <w:rsid w:val="00F80C9A"/>
    <w:rsid w:val="00FC4113"/>
    <w:rsid w:val="00FC74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099CBB"/>
  <w14:defaultImageDpi w14:val="300"/>
  <w15:docId w15:val="{4CF6392F-9B69-4180-8229-9320D973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D9E"/>
    <w:pPr>
      <w:ind w:left="720"/>
      <w:contextualSpacing/>
    </w:pPr>
  </w:style>
  <w:style w:type="paragraph" w:styleId="Header">
    <w:name w:val="header"/>
    <w:basedOn w:val="Normal"/>
    <w:link w:val="HeaderChar"/>
    <w:uiPriority w:val="99"/>
    <w:unhideWhenUsed/>
    <w:rsid w:val="00400A33"/>
    <w:pPr>
      <w:tabs>
        <w:tab w:val="center" w:pos="4320"/>
        <w:tab w:val="right" w:pos="8640"/>
      </w:tabs>
    </w:pPr>
  </w:style>
  <w:style w:type="character" w:customStyle="1" w:styleId="HeaderChar">
    <w:name w:val="Header Char"/>
    <w:basedOn w:val="DefaultParagraphFont"/>
    <w:link w:val="Header"/>
    <w:uiPriority w:val="99"/>
    <w:rsid w:val="00400A33"/>
    <w:rPr>
      <w:sz w:val="24"/>
      <w:szCs w:val="24"/>
    </w:rPr>
  </w:style>
  <w:style w:type="character" w:styleId="PageNumber">
    <w:name w:val="page number"/>
    <w:basedOn w:val="DefaultParagraphFont"/>
    <w:uiPriority w:val="99"/>
    <w:semiHidden/>
    <w:unhideWhenUsed/>
    <w:rsid w:val="00400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CL2350 (second years)/CL3350 (third years)</vt:lpstr>
    </vt:vector>
  </TitlesOfParts>
  <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CL2350-3350GenderReadingList2016</dc:title>
  <dc:subject>
  </dc:subject>
  <dc:creator>Richard Hawley</dc:creator>
  <cp:keywords>
  </cp:keywords>
  <cp:lastModifiedBy>Sue Turnbull</cp:lastModifiedBy>
  <cp:revision>2</cp:revision>
  <dcterms:created xsi:type="dcterms:W3CDTF">2016-05-31T13:22:00Z</dcterms:created>
  <dcterms:modified xsi:type="dcterms:W3CDTF">2016-06-01T08:40:57Z</dcterms:modified>
</cp:coreProperties>
</file>