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C8" w:rsidRPr="00EB4395" w:rsidRDefault="00EB4395" w:rsidP="00250EF0">
      <w:pPr>
        <w:rPr>
          <w:rFonts w:ascii="Corbel" w:hAnsi="Corbel" w:cs="Arial"/>
          <w:b/>
          <w:sz w:val="32"/>
          <w:szCs w:val="32"/>
          <w:shd w:val="clear" w:color="auto" w:fill="FFFFFF"/>
        </w:rPr>
      </w:pPr>
      <w:bookmarkStart w:id="0" w:name="_GoBack"/>
      <w:bookmarkEnd w:id="0"/>
      <w:r w:rsidRPr="00EB4395">
        <w:rPr>
          <w:rFonts w:ascii="Corbel" w:hAnsi="Corbel" w:cs="Arial"/>
          <w:b/>
          <w:sz w:val="32"/>
          <w:szCs w:val="32"/>
          <w:shd w:val="clear" w:color="auto" w:fill="FFFFFF"/>
        </w:rPr>
        <w:t xml:space="preserve">Where does our money come from and what is it spent on? </w:t>
      </w:r>
    </w:p>
    <w:p w:rsidR="00EB4395" w:rsidRPr="00AB01C8" w:rsidRDefault="00EB4395" w:rsidP="00250EF0">
      <w:pPr>
        <w:rPr>
          <w:rFonts w:ascii="Corbel" w:hAnsi="Corbel" w:cs="Arial"/>
          <w:b/>
          <w:sz w:val="24"/>
          <w:szCs w:val="24"/>
          <w:shd w:val="clear" w:color="auto" w:fill="FFFFFF"/>
        </w:rPr>
      </w:pPr>
      <w:r>
        <w:rPr>
          <w:rFonts w:ascii="Corbel" w:hAnsi="Corbel" w:cs="Arial"/>
          <w:b/>
          <w:sz w:val="24"/>
          <w:szCs w:val="24"/>
          <w:shd w:val="clear" w:color="auto" w:fill="FFFFFF"/>
        </w:rPr>
        <w:t xml:space="preserve">Please find below details of </w:t>
      </w:r>
      <w:r w:rsidR="00483922">
        <w:rPr>
          <w:rFonts w:ascii="Corbel" w:hAnsi="Corbel" w:cs="Arial"/>
          <w:b/>
          <w:sz w:val="24"/>
          <w:szCs w:val="24"/>
          <w:shd w:val="clear" w:color="auto" w:fill="FFFFFF"/>
        </w:rPr>
        <w:t>the categories</w:t>
      </w:r>
      <w:r w:rsidR="00C73629">
        <w:rPr>
          <w:rFonts w:ascii="Corbel" w:hAnsi="Corbel" w:cs="Arial"/>
          <w:b/>
          <w:sz w:val="24"/>
          <w:szCs w:val="24"/>
          <w:shd w:val="clear" w:color="auto" w:fill="FFFFFF"/>
        </w:rPr>
        <w:t xml:space="preserve"> we use to describe </w:t>
      </w:r>
      <w:r>
        <w:rPr>
          <w:rFonts w:ascii="Corbel" w:hAnsi="Corbel" w:cs="Arial"/>
          <w:b/>
          <w:sz w:val="24"/>
          <w:szCs w:val="24"/>
          <w:shd w:val="clear" w:color="auto" w:fill="FFFFFF"/>
        </w:rPr>
        <w:t xml:space="preserve">the </w:t>
      </w:r>
      <w:r w:rsidR="004A5F3E">
        <w:rPr>
          <w:rFonts w:ascii="Corbel" w:hAnsi="Corbel" w:cs="Arial"/>
          <w:b/>
          <w:sz w:val="24"/>
          <w:szCs w:val="24"/>
          <w:shd w:val="clear" w:color="auto" w:fill="FFFFFF"/>
        </w:rPr>
        <w:t>university’s</w:t>
      </w:r>
      <w:r w:rsidR="00C73629">
        <w:rPr>
          <w:rFonts w:ascii="Corbel" w:hAnsi="Corbel" w:cs="Arial"/>
          <w:b/>
          <w:sz w:val="24"/>
          <w:szCs w:val="24"/>
          <w:shd w:val="clear" w:color="auto" w:fill="FFFFFF"/>
        </w:rPr>
        <w:t xml:space="preserve"> income and expenditure. We have also included some charts showing</w:t>
      </w:r>
      <w:r>
        <w:rPr>
          <w:rFonts w:ascii="Corbel" w:hAnsi="Corbel" w:cs="Arial"/>
          <w:b/>
          <w:sz w:val="24"/>
          <w:szCs w:val="24"/>
          <w:shd w:val="clear" w:color="auto" w:fill="FFFFFF"/>
        </w:rPr>
        <w:t xml:space="preserve"> comparison</w:t>
      </w:r>
      <w:r w:rsidR="00C73629">
        <w:rPr>
          <w:rFonts w:ascii="Corbel" w:hAnsi="Corbel" w:cs="Arial"/>
          <w:b/>
          <w:sz w:val="24"/>
          <w:szCs w:val="24"/>
          <w:shd w:val="clear" w:color="auto" w:fill="FFFFFF"/>
        </w:rPr>
        <w:t>s</w:t>
      </w:r>
      <w:r>
        <w:rPr>
          <w:rFonts w:ascii="Corbel" w:hAnsi="Corbel" w:cs="Arial"/>
          <w:b/>
          <w:sz w:val="24"/>
          <w:szCs w:val="24"/>
          <w:shd w:val="clear" w:color="auto" w:fill="FFFFFF"/>
        </w:rPr>
        <w:t xml:space="preserve"> between the </w:t>
      </w:r>
      <w:r w:rsidR="004A5F3E">
        <w:rPr>
          <w:rFonts w:ascii="Corbel" w:hAnsi="Corbel" w:cs="Arial"/>
          <w:b/>
          <w:sz w:val="24"/>
          <w:szCs w:val="24"/>
          <w:shd w:val="clear" w:color="auto" w:fill="FFFFFF"/>
        </w:rPr>
        <w:t>2</w:t>
      </w:r>
      <w:r w:rsidR="00A822AF">
        <w:rPr>
          <w:rFonts w:ascii="Corbel" w:hAnsi="Corbel" w:cs="Arial"/>
          <w:b/>
          <w:sz w:val="24"/>
          <w:szCs w:val="24"/>
          <w:shd w:val="clear" w:color="auto" w:fill="FFFFFF"/>
        </w:rPr>
        <w:t>014-15</w:t>
      </w:r>
      <w:r>
        <w:rPr>
          <w:rFonts w:ascii="Corbel" w:hAnsi="Corbel" w:cs="Arial"/>
          <w:b/>
          <w:sz w:val="24"/>
          <w:szCs w:val="24"/>
          <w:shd w:val="clear" w:color="auto" w:fill="FFFFFF"/>
        </w:rPr>
        <w:t xml:space="preserve"> and 2015</w:t>
      </w:r>
      <w:r w:rsidR="00A822AF">
        <w:rPr>
          <w:rFonts w:ascii="Corbel" w:hAnsi="Corbel" w:cs="Arial"/>
          <w:b/>
          <w:sz w:val="24"/>
          <w:szCs w:val="24"/>
          <w:shd w:val="clear" w:color="auto" w:fill="FFFFFF"/>
        </w:rPr>
        <w:t>-16</w:t>
      </w:r>
      <w:r>
        <w:rPr>
          <w:rFonts w:ascii="Corbel" w:hAnsi="Corbel" w:cs="Arial"/>
          <w:b/>
          <w:sz w:val="24"/>
          <w:szCs w:val="24"/>
          <w:shd w:val="clear" w:color="auto" w:fill="FFFFFF"/>
        </w:rPr>
        <w:t xml:space="preserve"> academic years. </w:t>
      </w:r>
      <w:r w:rsidR="00C73629">
        <w:rPr>
          <w:rFonts w:ascii="Corbel" w:hAnsi="Corbel" w:cs="Arial"/>
          <w:b/>
          <w:sz w:val="24"/>
          <w:szCs w:val="24"/>
          <w:shd w:val="clear" w:color="auto" w:fill="FFFFFF"/>
        </w:rPr>
        <w:t xml:space="preserve">The final section </w:t>
      </w:r>
      <w:r>
        <w:rPr>
          <w:rFonts w:ascii="Corbel" w:hAnsi="Corbel" w:cs="Arial"/>
          <w:b/>
          <w:sz w:val="24"/>
          <w:szCs w:val="24"/>
          <w:shd w:val="clear" w:color="auto" w:fill="FFFFFF"/>
        </w:rPr>
        <w:t xml:space="preserve">covers the investment we have undertaken in </w:t>
      </w:r>
      <w:r w:rsidR="00A822AF">
        <w:rPr>
          <w:rFonts w:ascii="Corbel" w:hAnsi="Corbel" w:cs="Arial"/>
          <w:b/>
          <w:sz w:val="24"/>
          <w:szCs w:val="24"/>
          <w:shd w:val="clear" w:color="auto" w:fill="FFFFFF"/>
        </w:rPr>
        <w:t>2015-16</w:t>
      </w:r>
      <w:r>
        <w:rPr>
          <w:rFonts w:ascii="Corbel" w:hAnsi="Corbel" w:cs="Arial"/>
          <w:b/>
          <w:sz w:val="24"/>
          <w:szCs w:val="24"/>
          <w:shd w:val="clear" w:color="auto" w:fill="FFFFFF"/>
        </w:rPr>
        <w:t xml:space="preserve">. </w:t>
      </w:r>
    </w:p>
    <w:p w:rsidR="00AB01C8" w:rsidRPr="00AB01C8" w:rsidRDefault="00AB01C8" w:rsidP="00250EF0">
      <w:pPr>
        <w:rPr>
          <w:rFonts w:ascii="Corbel" w:hAnsi="Corbel" w:cs="Arial"/>
          <w:b/>
          <w:sz w:val="24"/>
          <w:szCs w:val="24"/>
          <w:shd w:val="clear" w:color="auto" w:fill="FFFFFF"/>
        </w:rPr>
      </w:pPr>
      <w:r w:rsidRPr="00AB01C8">
        <w:rPr>
          <w:rFonts w:ascii="Corbel" w:hAnsi="Corbel" w:cs="Arial"/>
          <w:b/>
          <w:sz w:val="24"/>
          <w:szCs w:val="24"/>
          <w:shd w:val="clear" w:color="auto" w:fill="FFFFFF"/>
        </w:rPr>
        <w:t>INCOME</w:t>
      </w:r>
    </w:p>
    <w:p w:rsidR="006E634D" w:rsidRDefault="00AB01C8" w:rsidP="006E634D">
      <w:pPr>
        <w:pStyle w:val="NormalWeb"/>
        <w:shd w:val="clear" w:color="auto" w:fill="FFFFFF"/>
        <w:spacing w:before="0" w:beforeAutospacing="0" w:after="120" w:afterAutospacing="0" w:line="348" w:lineRule="atLeast"/>
        <w:textAlignment w:val="baseline"/>
        <w:rPr>
          <w:rFonts w:ascii="Corbel" w:hAnsi="Corbel" w:cs="Arial"/>
          <w:b/>
        </w:rPr>
      </w:pPr>
      <w:r w:rsidRPr="00AB01C8">
        <w:rPr>
          <w:rFonts w:ascii="Corbel" w:hAnsi="Corbel" w:cs="Arial"/>
          <w:b/>
        </w:rPr>
        <w:t xml:space="preserve">Tuition </w:t>
      </w:r>
      <w:r w:rsidR="004A5F3E">
        <w:rPr>
          <w:rFonts w:ascii="Corbel" w:hAnsi="Corbel" w:cs="Arial"/>
          <w:b/>
        </w:rPr>
        <w:t>f</w:t>
      </w:r>
      <w:r w:rsidRPr="00AB01C8">
        <w:rPr>
          <w:rFonts w:ascii="Corbel" w:hAnsi="Corbel" w:cs="Arial"/>
          <w:b/>
        </w:rPr>
        <w:t>ees</w:t>
      </w:r>
    </w:p>
    <w:p w:rsidR="00AB01C8" w:rsidRDefault="00AB01C8" w:rsidP="006E634D">
      <w:pPr>
        <w:pStyle w:val="NormalWeb"/>
        <w:shd w:val="clear" w:color="auto" w:fill="FFFFFF"/>
        <w:spacing w:before="0" w:beforeAutospacing="0" w:after="120" w:afterAutospacing="0" w:line="348" w:lineRule="atLeast"/>
        <w:textAlignment w:val="baseline"/>
        <w:rPr>
          <w:rFonts w:ascii="Corbel" w:hAnsi="Corbel" w:cs="Arial"/>
        </w:rPr>
      </w:pPr>
      <w:r w:rsidRPr="00AB01C8">
        <w:rPr>
          <w:rFonts w:ascii="Corbel" w:hAnsi="Corbel" w:cs="Arial"/>
        </w:rPr>
        <w:t>These funds represent fees charged to students for the course they are undertaking. Different fees are charged depending on the level of study, subject an</w:t>
      </w:r>
      <w:r w:rsidR="00EB4395">
        <w:rPr>
          <w:rFonts w:ascii="Corbel" w:hAnsi="Corbel" w:cs="Arial"/>
        </w:rPr>
        <w:t xml:space="preserve">d residency. However, the fee that </w:t>
      </w:r>
      <w:r w:rsidRPr="00AB01C8">
        <w:rPr>
          <w:rFonts w:ascii="Corbel" w:hAnsi="Corbel" w:cs="Arial"/>
        </w:rPr>
        <w:t xml:space="preserve">a university can charge to an undergraduate </w:t>
      </w:r>
      <w:r w:rsidR="00EB4395">
        <w:rPr>
          <w:rFonts w:ascii="Corbel" w:hAnsi="Corbel" w:cs="Arial"/>
        </w:rPr>
        <w:t xml:space="preserve">who is classified as </w:t>
      </w:r>
      <w:r w:rsidRPr="00AB01C8">
        <w:rPr>
          <w:rFonts w:ascii="Corbel" w:hAnsi="Corbel" w:cs="Arial"/>
        </w:rPr>
        <w:t>Home/EU</w:t>
      </w:r>
      <w:r w:rsidR="00EB4395">
        <w:rPr>
          <w:rFonts w:ascii="Corbel" w:hAnsi="Corbel" w:cs="Arial"/>
        </w:rPr>
        <w:t>,</w:t>
      </w:r>
      <w:r w:rsidRPr="00AB01C8">
        <w:rPr>
          <w:rFonts w:ascii="Corbel" w:hAnsi="Corbel" w:cs="Arial"/>
        </w:rPr>
        <w:t xml:space="preserve"> is capped by </w:t>
      </w:r>
      <w:r w:rsidR="004A5F3E">
        <w:rPr>
          <w:rFonts w:ascii="Corbel" w:hAnsi="Corbel" w:cs="Arial"/>
        </w:rPr>
        <w:t>g</w:t>
      </w:r>
      <w:r w:rsidRPr="00AB01C8">
        <w:rPr>
          <w:rFonts w:ascii="Corbel" w:hAnsi="Corbel" w:cs="Arial"/>
        </w:rPr>
        <w:t>overnment policy</w:t>
      </w:r>
    </w:p>
    <w:p w:rsidR="006E634D" w:rsidRDefault="006E634D" w:rsidP="006E634D">
      <w:pPr>
        <w:pStyle w:val="NormalWeb"/>
        <w:shd w:val="clear" w:color="auto" w:fill="FFFFFF"/>
        <w:spacing w:before="0" w:beforeAutospacing="0" w:after="120" w:afterAutospacing="0" w:line="348" w:lineRule="atLeast"/>
        <w:textAlignment w:val="baseline"/>
        <w:rPr>
          <w:rFonts w:ascii="Corbel" w:hAnsi="Corbel" w:cs="Arial"/>
        </w:rPr>
      </w:pPr>
    </w:p>
    <w:p w:rsidR="00EB4395" w:rsidRPr="00EB4395" w:rsidRDefault="004A5F3E" w:rsidP="006E634D">
      <w:pPr>
        <w:spacing w:after="120"/>
        <w:rPr>
          <w:rFonts w:ascii="Corbel" w:hAnsi="Corbel"/>
          <w:b/>
          <w:sz w:val="24"/>
          <w:szCs w:val="24"/>
        </w:rPr>
      </w:pPr>
      <w:r>
        <w:rPr>
          <w:rFonts w:ascii="Corbel" w:hAnsi="Corbel"/>
          <w:b/>
          <w:sz w:val="24"/>
          <w:szCs w:val="24"/>
        </w:rPr>
        <w:t>Research g</w:t>
      </w:r>
      <w:r w:rsidR="00EB4395" w:rsidRPr="00EB4395">
        <w:rPr>
          <w:rFonts w:ascii="Corbel" w:hAnsi="Corbel"/>
          <w:b/>
          <w:sz w:val="24"/>
          <w:szCs w:val="24"/>
        </w:rPr>
        <w:t xml:space="preserve">rants &amp; </w:t>
      </w:r>
      <w:r>
        <w:rPr>
          <w:rFonts w:ascii="Corbel" w:hAnsi="Corbel"/>
          <w:b/>
          <w:sz w:val="24"/>
          <w:szCs w:val="24"/>
        </w:rPr>
        <w:t>c</w:t>
      </w:r>
      <w:r w:rsidR="00EB4395">
        <w:rPr>
          <w:rFonts w:ascii="Corbel" w:hAnsi="Corbel"/>
          <w:b/>
          <w:sz w:val="24"/>
          <w:szCs w:val="24"/>
        </w:rPr>
        <w:t>ontracts</w:t>
      </w:r>
    </w:p>
    <w:p w:rsidR="00EB4395" w:rsidRPr="00AB01C8" w:rsidRDefault="00EB4395" w:rsidP="006E634D">
      <w:pPr>
        <w:spacing w:after="120"/>
        <w:rPr>
          <w:rFonts w:ascii="Corbel" w:hAnsi="Corbel" w:cs="Arial"/>
          <w:sz w:val="24"/>
          <w:szCs w:val="24"/>
          <w:shd w:val="clear" w:color="auto" w:fill="FFFFFF"/>
        </w:rPr>
      </w:pPr>
      <w:r w:rsidRPr="00AB01C8">
        <w:rPr>
          <w:rFonts w:ascii="Corbel" w:hAnsi="Corbel" w:cs="Arial"/>
          <w:sz w:val="24"/>
          <w:szCs w:val="24"/>
          <w:shd w:val="clear" w:color="auto" w:fill="FFFFFF"/>
        </w:rPr>
        <w:t>This income represents funding received from various research councils and other external funding bodies</w:t>
      </w:r>
      <w:r>
        <w:rPr>
          <w:rFonts w:ascii="Corbel" w:hAnsi="Corbel" w:cs="Arial"/>
          <w:sz w:val="24"/>
          <w:szCs w:val="24"/>
          <w:shd w:val="clear" w:color="auto" w:fill="FFFFFF"/>
        </w:rPr>
        <w:t xml:space="preserve"> including research funding from the European Union</w:t>
      </w:r>
      <w:r w:rsidRPr="00AB01C8">
        <w:rPr>
          <w:rFonts w:ascii="Corbel" w:hAnsi="Corbel" w:cs="Arial"/>
          <w:sz w:val="24"/>
          <w:szCs w:val="24"/>
          <w:shd w:val="clear" w:color="auto" w:fill="FFFFFF"/>
        </w:rPr>
        <w:t>.</w:t>
      </w:r>
    </w:p>
    <w:p w:rsidR="00AB01C8" w:rsidRPr="00AB01C8" w:rsidRDefault="00AB01C8" w:rsidP="006E634D">
      <w:pPr>
        <w:pStyle w:val="NormalWeb"/>
        <w:shd w:val="clear" w:color="auto" w:fill="FFFFFF"/>
        <w:spacing w:before="0" w:beforeAutospacing="0" w:after="120" w:afterAutospacing="0" w:line="348" w:lineRule="atLeast"/>
        <w:textAlignment w:val="baseline"/>
        <w:rPr>
          <w:rFonts w:ascii="Corbel" w:hAnsi="Corbel" w:cs="Arial"/>
          <w:b/>
        </w:rPr>
      </w:pPr>
      <w:r w:rsidRPr="00AB01C8">
        <w:rPr>
          <w:rFonts w:ascii="Corbel" w:hAnsi="Corbel" w:cs="Arial"/>
          <w:b/>
        </w:rPr>
        <w:t>Funding Body Grants</w:t>
      </w:r>
    </w:p>
    <w:p w:rsidR="00AB01C8" w:rsidRPr="00AB01C8" w:rsidRDefault="00AB01C8" w:rsidP="006E634D">
      <w:pPr>
        <w:pStyle w:val="NormalWeb"/>
        <w:shd w:val="clear" w:color="auto" w:fill="FFFFFF"/>
        <w:spacing w:before="0" w:beforeAutospacing="0" w:after="120" w:afterAutospacing="0" w:line="348" w:lineRule="atLeast"/>
        <w:textAlignment w:val="baseline"/>
        <w:rPr>
          <w:rFonts w:ascii="Corbel" w:hAnsi="Corbel" w:cs="Arial"/>
        </w:rPr>
      </w:pPr>
      <w:r w:rsidRPr="00AB01C8">
        <w:rPr>
          <w:rFonts w:ascii="Corbel" w:hAnsi="Corbel" w:cs="Arial"/>
        </w:rPr>
        <w:t>The Higher Education Funding Council for England (HEFCE) distribute public</w:t>
      </w:r>
      <w:r w:rsidR="004A5F3E">
        <w:rPr>
          <w:rFonts w:ascii="Corbel" w:hAnsi="Corbel" w:cs="Arial"/>
        </w:rPr>
        <w:t xml:space="preserve"> money for higher education to u</w:t>
      </w:r>
      <w:r w:rsidRPr="00AB01C8">
        <w:rPr>
          <w:rFonts w:ascii="Corbel" w:hAnsi="Corbel" w:cs="Arial"/>
        </w:rPr>
        <w:t xml:space="preserve">niversities and </w:t>
      </w:r>
      <w:r w:rsidR="004A5F3E">
        <w:rPr>
          <w:rFonts w:ascii="Corbel" w:hAnsi="Corbel" w:cs="Arial"/>
        </w:rPr>
        <w:t>c</w:t>
      </w:r>
      <w:r w:rsidRPr="00AB01C8">
        <w:rPr>
          <w:rFonts w:ascii="Corbel" w:hAnsi="Corbel" w:cs="Arial"/>
        </w:rPr>
        <w:t>olleges in England.</w:t>
      </w:r>
    </w:p>
    <w:p w:rsidR="00AB01C8" w:rsidRPr="00AB01C8" w:rsidRDefault="00AB01C8" w:rsidP="00AB01C8">
      <w:pPr>
        <w:pStyle w:val="NormalWeb"/>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 xml:space="preserve">HEFCE Funds support 3 priorities in </w:t>
      </w:r>
      <w:r w:rsidR="004A5F3E">
        <w:rPr>
          <w:rFonts w:ascii="Corbel" w:hAnsi="Corbel" w:cs="Arial"/>
        </w:rPr>
        <w:t>h</w:t>
      </w:r>
      <w:r w:rsidRPr="00AB01C8">
        <w:rPr>
          <w:rFonts w:ascii="Corbel" w:hAnsi="Corbel" w:cs="Arial"/>
        </w:rPr>
        <w:t xml:space="preserve">igher </w:t>
      </w:r>
      <w:r w:rsidR="004A5F3E">
        <w:rPr>
          <w:rFonts w:ascii="Corbel" w:hAnsi="Corbel" w:cs="Arial"/>
        </w:rPr>
        <w:t>e</w:t>
      </w:r>
      <w:r w:rsidRPr="00AB01C8">
        <w:rPr>
          <w:rFonts w:ascii="Corbel" w:hAnsi="Corbel" w:cs="Arial"/>
        </w:rPr>
        <w:t>ducation</w:t>
      </w:r>
    </w:p>
    <w:p w:rsidR="00AB01C8" w:rsidRPr="00AB01C8" w:rsidRDefault="00AB01C8" w:rsidP="00AB01C8">
      <w:pPr>
        <w:pStyle w:val="NormalWeb"/>
        <w:numPr>
          <w:ilvl w:val="0"/>
          <w:numId w:val="2"/>
        </w:numPr>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Learning, teaching and student choice</w:t>
      </w:r>
    </w:p>
    <w:p w:rsidR="00AB01C8" w:rsidRPr="00AB01C8" w:rsidRDefault="00AB01C8" w:rsidP="00AB01C8">
      <w:pPr>
        <w:pStyle w:val="NormalWeb"/>
        <w:numPr>
          <w:ilvl w:val="0"/>
          <w:numId w:val="2"/>
        </w:numPr>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Research</w:t>
      </w:r>
    </w:p>
    <w:p w:rsidR="00AB01C8" w:rsidRPr="00AB01C8" w:rsidRDefault="00AB01C8" w:rsidP="00AB01C8">
      <w:pPr>
        <w:pStyle w:val="NormalWeb"/>
        <w:numPr>
          <w:ilvl w:val="0"/>
          <w:numId w:val="2"/>
        </w:numPr>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Knowledge exchange with business and the wider community</w:t>
      </w:r>
    </w:p>
    <w:p w:rsidR="00AB01C8" w:rsidRPr="00AB01C8" w:rsidRDefault="00AB01C8" w:rsidP="00AB01C8">
      <w:pPr>
        <w:pStyle w:val="NormalWeb"/>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The amount we receive for teaching is determined by the number of Home/EU students enrolled and the type of subject they study.</w:t>
      </w:r>
    </w:p>
    <w:p w:rsidR="00AB01C8" w:rsidRPr="00AB01C8" w:rsidRDefault="00AB01C8" w:rsidP="00AB01C8">
      <w:pPr>
        <w:pStyle w:val="NormalWeb"/>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Research funding is currently based on the Research Excellence Framework (REF) from 2014 which reviews the quality of our work.</w:t>
      </w:r>
    </w:p>
    <w:p w:rsidR="00AB01C8" w:rsidRDefault="00AB01C8" w:rsidP="00AB01C8">
      <w:pPr>
        <w:pStyle w:val="NormalWeb"/>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lastRenderedPageBreak/>
        <w:t>However, HEFCE grants to the universities do not fully meet their costs: they make only a contribution towards teaching, research, knowledge exchange and related activities.</w:t>
      </w:r>
    </w:p>
    <w:p w:rsidR="006E634D" w:rsidRDefault="006E634D" w:rsidP="00AB01C8">
      <w:pPr>
        <w:pStyle w:val="NormalWeb"/>
        <w:shd w:val="clear" w:color="auto" w:fill="FFFFFF"/>
        <w:spacing w:before="0" w:beforeAutospacing="0" w:after="240" w:afterAutospacing="0" w:line="348" w:lineRule="atLeast"/>
        <w:textAlignment w:val="baseline"/>
        <w:rPr>
          <w:rFonts w:ascii="Corbel" w:hAnsi="Corbel" w:cs="Arial"/>
        </w:rPr>
      </w:pPr>
    </w:p>
    <w:p w:rsidR="006E634D" w:rsidRPr="00AB01C8" w:rsidRDefault="006E634D" w:rsidP="00AB01C8">
      <w:pPr>
        <w:pStyle w:val="NormalWeb"/>
        <w:shd w:val="clear" w:color="auto" w:fill="FFFFFF"/>
        <w:spacing w:before="0" w:beforeAutospacing="0" w:after="240" w:afterAutospacing="0" w:line="348" w:lineRule="atLeast"/>
        <w:textAlignment w:val="baseline"/>
        <w:rPr>
          <w:rFonts w:ascii="Corbel" w:hAnsi="Corbel" w:cs="Arial"/>
        </w:rPr>
      </w:pPr>
    </w:p>
    <w:p w:rsidR="00AB01C8" w:rsidRPr="00AB01C8" w:rsidRDefault="004A5F3E" w:rsidP="00AB01C8">
      <w:pPr>
        <w:rPr>
          <w:rFonts w:ascii="Corbel" w:hAnsi="Corbel" w:cs="Arial"/>
          <w:b/>
          <w:sz w:val="24"/>
          <w:szCs w:val="24"/>
          <w:shd w:val="clear" w:color="auto" w:fill="FFFFFF"/>
        </w:rPr>
      </w:pPr>
      <w:r>
        <w:rPr>
          <w:rFonts w:ascii="Corbel" w:hAnsi="Corbel" w:cs="Arial"/>
          <w:b/>
          <w:sz w:val="24"/>
          <w:szCs w:val="24"/>
          <w:shd w:val="clear" w:color="auto" w:fill="FFFFFF"/>
        </w:rPr>
        <w:t>Other i</w:t>
      </w:r>
      <w:r w:rsidR="00AB01C8" w:rsidRPr="00AB01C8">
        <w:rPr>
          <w:rFonts w:ascii="Corbel" w:hAnsi="Corbel" w:cs="Arial"/>
          <w:b/>
          <w:sz w:val="24"/>
          <w:szCs w:val="24"/>
          <w:shd w:val="clear" w:color="auto" w:fill="FFFFFF"/>
        </w:rPr>
        <w:t>ncome</w:t>
      </w:r>
    </w:p>
    <w:p w:rsidR="00AB01C8" w:rsidRPr="00AB01C8" w:rsidRDefault="00AB01C8" w:rsidP="00AB01C8">
      <w:pPr>
        <w:rPr>
          <w:rFonts w:ascii="Corbel" w:hAnsi="Corbel" w:cs="Arial"/>
          <w:sz w:val="24"/>
          <w:szCs w:val="24"/>
          <w:shd w:val="clear" w:color="auto" w:fill="FFFFFF"/>
        </w:rPr>
      </w:pPr>
      <w:r w:rsidRPr="00AB01C8">
        <w:rPr>
          <w:rFonts w:ascii="Corbel" w:hAnsi="Corbel" w:cs="Arial"/>
          <w:sz w:val="24"/>
          <w:szCs w:val="24"/>
          <w:shd w:val="clear" w:color="auto" w:fill="FFFFFF"/>
        </w:rPr>
        <w:t xml:space="preserve">This income represents money from residences, catering, conferences and other services that the </w:t>
      </w:r>
      <w:r w:rsidR="004A5F3E">
        <w:rPr>
          <w:rFonts w:ascii="Corbel" w:hAnsi="Corbel" w:cs="Arial"/>
          <w:sz w:val="24"/>
          <w:szCs w:val="24"/>
          <w:shd w:val="clear" w:color="auto" w:fill="FFFFFF"/>
        </w:rPr>
        <w:t>university</w:t>
      </w:r>
      <w:r w:rsidRPr="00AB01C8">
        <w:rPr>
          <w:rFonts w:ascii="Corbel" w:hAnsi="Corbel" w:cs="Arial"/>
          <w:sz w:val="24"/>
          <w:szCs w:val="24"/>
          <w:shd w:val="clear" w:color="auto" w:fill="FFFFFF"/>
        </w:rPr>
        <w:t xml:space="preserve"> offers to students, staff and the public.</w:t>
      </w:r>
      <w:r w:rsidR="006E634D">
        <w:rPr>
          <w:rFonts w:ascii="Corbel" w:hAnsi="Corbel" w:cs="Arial"/>
          <w:sz w:val="24"/>
          <w:szCs w:val="24"/>
          <w:shd w:val="clear" w:color="auto" w:fill="FFFFFF"/>
        </w:rPr>
        <w:t xml:space="preserve"> This category also covers any donations we receive including major and regular gifts and legacies. </w:t>
      </w:r>
    </w:p>
    <w:p w:rsidR="00AB01C8" w:rsidRPr="00AB01C8" w:rsidRDefault="004A5F3E" w:rsidP="00AB01C8">
      <w:pPr>
        <w:rPr>
          <w:rFonts w:ascii="Corbel" w:hAnsi="Corbel" w:cs="Arial"/>
          <w:b/>
          <w:sz w:val="24"/>
          <w:szCs w:val="24"/>
          <w:shd w:val="clear" w:color="auto" w:fill="FFFFFF"/>
        </w:rPr>
      </w:pPr>
      <w:r>
        <w:rPr>
          <w:rFonts w:ascii="Corbel" w:hAnsi="Corbel" w:cs="Arial"/>
          <w:b/>
          <w:sz w:val="24"/>
          <w:szCs w:val="24"/>
          <w:shd w:val="clear" w:color="auto" w:fill="FFFFFF"/>
        </w:rPr>
        <w:t>Endowment &amp; investment i</w:t>
      </w:r>
      <w:r w:rsidR="00AB01C8" w:rsidRPr="00AB01C8">
        <w:rPr>
          <w:rFonts w:ascii="Corbel" w:hAnsi="Corbel" w:cs="Arial"/>
          <w:b/>
          <w:sz w:val="24"/>
          <w:szCs w:val="24"/>
          <w:shd w:val="clear" w:color="auto" w:fill="FFFFFF"/>
        </w:rPr>
        <w:t>ncome</w:t>
      </w:r>
    </w:p>
    <w:p w:rsidR="00AB01C8" w:rsidRDefault="00AB01C8" w:rsidP="00AB01C8">
      <w:pPr>
        <w:rPr>
          <w:rFonts w:ascii="Corbel" w:hAnsi="Corbel" w:cs="Arial"/>
          <w:sz w:val="24"/>
          <w:szCs w:val="24"/>
          <w:shd w:val="clear" w:color="auto" w:fill="FFFFFF"/>
        </w:rPr>
      </w:pPr>
      <w:r w:rsidRPr="00AB01C8">
        <w:rPr>
          <w:rFonts w:ascii="Corbel" w:hAnsi="Corbel" w:cs="Arial"/>
          <w:sz w:val="24"/>
          <w:szCs w:val="24"/>
          <w:shd w:val="clear" w:color="auto" w:fill="FFFFFF"/>
        </w:rPr>
        <w:t xml:space="preserve">This mainly represents income generated from the investment of money or other financial assets that have been bestowed to the </w:t>
      </w:r>
      <w:r w:rsidR="004A5F3E">
        <w:rPr>
          <w:rFonts w:ascii="Corbel" w:hAnsi="Corbel" w:cs="Arial"/>
          <w:sz w:val="24"/>
          <w:szCs w:val="24"/>
          <w:shd w:val="clear" w:color="auto" w:fill="FFFFFF"/>
        </w:rPr>
        <w:t>u</w:t>
      </w:r>
      <w:r w:rsidRPr="00AB01C8">
        <w:rPr>
          <w:rFonts w:ascii="Corbel" w:hAnsi="Corbel" w:cs="Arial"/>
          <w:sz w:val="24"/>
          <w:szCs w:val="24"/>
          <w:shd w:val="clear" w:color="auto" w:fill="FFFFFF"/>
        </w:rPr>
        <w:t>niversity.</w:t>
      </w:r>
    </w:p>
    <w:p w:rsidR="00EF2C7D" w:rsidRDefault="00EF2C7D" w:rsidP="00AB01C8">
      <w:pPr>
        <w:rPr>
          <w:rFonts w:ascii="Corbel" w:hAnsi="Corbel" w:cs="Arial"/>
          <w:sz w:val="24"/>
          <w:szCs w:val="24"/>
          <w:shd w:val="clear" w:color="auto" w:fill="FFFFFF"/>
        </w:rPr>
      </w:pPr>
    </w:p>
    <w:p w:rsidR="00EF2C7D" w:rsidRDefault="00EF2C7D" w:rsidP="00AB01C8">
      <w:pPr>
        <w:rPr>
          <w:rFonts w:ascii="Corbel" w:hAnsi="Corbel" w:cs="Arial"/>
          <w:sz w:val="24"/>
          <w:szCs w:val="24"/>
          <w:shd w:val="clear" w:color="auto" w:fill="FFFFFF"/>
        </w:rPr>
      </w:pPr>
      <w:r>
        <w:rPr>
          <w:rFonts w:ascii="Corbel" w:hAnsi="Corbel" w:cs="Arial"/>
          <w:sz w:val="24"/>
          <w:szCs w:val="24"/>
          <w:shd w:val="clear" w:color="auto" w:fill="FFFFFF"/>
        </w:rPr>
        <w:t xml:space="preserve">The chart below shows the </w:t>
      </w:r>
      <w:r w:rsidR="004A5F3E">
        <w:rPr>
          <w:rFonts w:ascii="Corbel" w:hAnsi="Corbel" w:cs="Arial"/>
          <w:sz w:val="24"/>
          <w:szCs w:val="24"/>
          <w:shd w:val="clear" w:color="auto" w:fill="FFFFFF"/>
        </w:rPr>
        <w:t>university’s</w:t>
      </w:r>
      <w:r>
        <w:rPr>
          <w:rFonts w:ascii="Corbel" w:hAnsi="Corbel" w:cs="Arial"/>
          <w:sz w:val="24"/>
          <w:szCs w:val="24"/>
          <w:shd w:val="clear" w:color="auto" w:fill="FFFFFF"/>
        </w:rPr>
        <w:t xml:space="preserve"> income for each category for this year and last year. </w:t>
      </w:r>
    </w:p>
    <w:p w:rsidR="00AE530D" w:rsidRDefault="00AE530D" w:rsidP="00AB01C8">
      <w:pPr>
        <w:rPr>
          <w:rFonts w:ascii="Corbel" w:hAnsi="Corbel" w:cs="Arial"/>
          <w:sz w:val="24"/>
          <w:szCs w:val="24"/>
          <w:shd w:val="clear" w:color="auto" w:fill="FFFFFF"/>
        </w:rPr>
      </w:pPr>
      <w:r>
        <w:rPr>
          <w:noProof/>
          <w:lang w:eastAsia="en-GB"/>
        </w:rPr>
        <w:drawing>
          <wp:inline distT="0" distB="0" distL="0" distR="0" wp14:anchorId="673316A1" wp14:editId="1D9CA519">
            <wp:extent cx="5731510" cy="4053840"/>
            <wp:effectExtent l="0" t="0" r="254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EF2C7D" w:rsidRPr="00AB01C8" w:rsidRDefault="00EF2C7D" w:rsidP="00AB01C8">
      <w:pPr>
        <w:rPr>
          <w:rFonts w:ascii="Corbel" w:hAnsi="Corbel"/>
          <w:sz w:val="24"/>
          <w:szCs w:val="24"/>
        </w:rPr>
      </w:pPr>
    </w:p>
    <w:p w:rsidR="00AB01C8" w:rsidRDefault="00AB01C8" w:rsidP="00250EF0">
      <w:pPr>
        <w:rPr>
          <w:noProof/>
          <w:lang w:eastAsia="en-GB"/>
        </w:rPr>
      </w:pPr>
    </w:p>
    <w:p w:rsidR="00A822AF" w:rsidRDefault="00A822AF" w:rsidP="00250EF0">
      <w:pPr>
        <w:rPr>
          <w:rFonts w:ascii="Corbel" w:hAnsi="Corbel" w:cs="Arial"/>
          <w:b/>
          <w:sz w:val="24"/>
          <w:szCs w:val="24"/>
          <w:shd w:val="clear" w:color="auto" w:fill="FFFFFF"/>
        </w:rPr>
      </w:pPr>
    </w:p>
    <w:p w:rsidR="00D403E2" w:rsidRDefault="00D403E2" w:rsidP="00250EF0">
      <w:pPr>
        <w:rPr>
          <w:rFonts w:ascii="Corbel" w:hAnsi="Corbel" w:cs="Arial"/>
          <w:b/>
          <w:sz w:val="24"/>
          <w:szCs w:val="24"/>
          <w:shd w:val="clear" w:color="auto" w:fill="FFFFFF"/>
        </w:rPr>
      </w:pPr>
    </w:p>
    <w:p w:rsidR="00EB4395" w:rsidRDefault="00EB4395" w:rsidP="00250EF0">
      <w:pPr>
        <w:rPr>
          <w:rFonts w:ascii="Corbel" w:hAnsi="Corbel" w:cs="Arial"/>
          <w:b/>
          <w:sz w:val="24"/>
          <w:szCs w:val="24"/>
          <w:shd w:val="clear" w:color="auto" w:fill="FFFFFF"/>
        </w:rPr>
      </w:pPr>
    </w:p>
    <w:p w:rsidR="00EB4395" w:rsidRDefault="00EB4395" w:rsidP="00250EF0">
      <w:pPr>
        <w:rPr>
          <w:rFonts w:ascii="Corbel" w:hAnsi="Corbel" w:cs="Arial"/>
          <w:b/>
          <w:sz w:val="24"/>
          <w:szCs w:val="24"/>
          <w:shd w:val="clear" w:color="auto" w:fill="FFFFFF"/>
        </w:rPr>
      </w:pPr>
    </w:p>
    <w:p w:rsidR="00AB01C8" w:rsidRPr="00AB01C8" w:rsidRDefault="00AB01C8" w:rsidP="00250EF0">
      <w:pPr>
        <w:rPr>
          <w:rFonts w:ascii="Corbel" w:hAnsi="Corbel" w:cs="Arial"/>
          <w:b/>
          <w:sz w:val="24"/>
          <w:szCs w:val="24"/>
          <w:shd w:val="clear" w:color="auto" w:fill="FFFFFF"/>
        </w:rPr>
      </w:pPr>
      <w:r w:rsidRPr="00AB01C8">
        <w:rPr>
          <w:rFonts w:ascii="Corbel" w:hAnsi="Corbel" w:cs="Arial"/>
          <w:b/>
          <w:sz w:val="24"/>
          <w:szCs w:val="24"/>
          <w:shd w:val="clear" w:color="auto" w:fill="FFFFFF"/>
        </w:rPr>
        <w:t>EXPENDITURE</w:t>
      </w:r>
    </w:p>
    <w:p w:rsidR="00250EF0" w:rsidRPr="00AB01C8" w:rsidRDefault="004A5F3E" w:rsidP="00250EF0">
      <w:pPr>
        <w:rPr>
          <w:rFonts w:ascii="Corbel" w:hAnsi="Corbel" w:cs="Arial"/>
          <w:b/>
          <w:sz w:val="24"/>
          <w:szCs w:val="24"/>
          <w:shd w:val="clear" w:color="auto" w:fill="FFFFFF"/>
        </w:rPr>
      </w:pPr>
      <w:r>
        <w:rPr>
          <w:rFonts w:ascii="Corbel" w:hAnsi="Corbel" w:cs="Arial"/>
          <w:b/>
          <w:sz w:val="24"/>
          <w:szCs w:val="24"/>
          <w:shd w:val="clear" w:color="auto" w:fill="FFFFFF"/>
        </w:rPr>
        <w:t>Academic d</w:t>
      </w:r>
      <w:r w:rsidR="00250EF0" w:rsidRPr="00AB01C8">
        <w:rPr>
          <w:rFonts w:ascii="Corbel" w:hAnsi="Corbel" w:cs="Arial"/>
          <w:b/>
          <w:sz w:val="24"/>
          <w:szCs w:val="24"/>
          <w:shd w:val="clear" w:color="auto" w:fill="FFFFFF"/>
        </w:rPr>
        <w:t>epartments</w:t>
      </w:r>
    </w:p>
    <w:p w:rsidR="00497168" w:rsidRDefault="00250EF0" w:rsidP="00250EF0">
      <w:pPr>
        <w:rPr>
          <w:rFonts w:ascii="Corbel" w:hAnsi="Corbel" w:cs="Arial"/>
          <w:sz w:val="24"/>
          <w:szCs w:val="24"/>
          <w:shd w:val="clear" w:color="auto" w:fill="FFFFFF"/>
        </w:rPr>
      </w:pPr>
      <w:r w:rsidRPr="00AB01C8">
        <w:rPr>
          <w:rFonts w:ascii="Corbel" w:hAnsi="Corbel" w:cs="Arial"/>
          <w:sz w:val="24"/>
          <w:szCs w:val="24"/>
          <w:shd w:val="clear" w:color="auto" w:fill="FFFFFF"/>
        </w:rPr>
        <w:t xml:space="preserve">This covers costs incurred by academic departments including employing academics, departmental support staff and departmental operating costs. Costs directly related to funded research projects are not included here but </w:t>
      </w:r>
      <w:r w:rsidR="00EB4395">
        <w:rPr>
          <w:rFonts w:ascii="Corbel" w:hAnsi="Corbel" w:cs="Arial"/>
          <w:sz w:val="24"/>
          <w:szCs w:val="24"/>
          <w:shd w:val="clear" w:color="auto" w:fill="FFFFFF"/>
        </w:rPr>
        <w:t xml:space="preserve">rather are categorised </w:t>
      </w:r>
      <w:r w:rsidRPr="00AB01C8">
        <w:rPr>
          <w:rFonts w:ascii="Corbel" w:hAnsi="Corbel" w:cs="Arial"/>
          <w:sz w:val="24"/>
          <w:szCs w:val="24"/>
          <w:shd w:val="clear" w:color="auto" w:fill="FFFFFF"/>
        </w:rPr>
        <w:t xml:space="preserve">under </w:t>
      </w:r>
      <w:r w:rsidR="004A5F3E">
        <w:rPr>
          <w:rFonts w:ascii="Corbel" w:hAnsi="Corbel" w:cs="Arial"/>
          <w:sz w:val="24"/>
          <w:szCs w:val="24"/>
          <w:shd w:val="clear" w:color="auto" w:fill="FFFFFF"/>
        </w:rPr>
        <w:t>r</w:t>
      </w:r>
      <w:r w:rsidRPr="00AB01C8">
        <w:rPr>
          <w:rFonts w:ascii="Corbel" w:hAnsi="Corbel" w:cs="Arial"/>
          <w:sz w:val="24"/>
          <w:szCs w:val="24"/>
          <w:shd w:val="clear" w:color="auto" w:fill="FFFFFF"/>
        </w:rPr>
        <w:t>esearc</w:t>
      </w:r>
      <w:r w:rsidR="004A5F3E">
        <w:rPr>
          <w:rFonts w:ascii="Corbel" w:hAnsi="Corbel" w:cs="Arial"/>
          <w:sz w:val="24"/>
          <w:szCs w:val="24"/>
          <w:shd w:val="clear" w:color="auto" w:fill="FFFFFF"/>
        </w:rPr>
        <w:t>h g</w:t>
      </w:r>
      <w:r w:rsidRPr="00AB01C8">
        <w:rPr>
          <w:rFonts w:ascii="Corbel" w:hAnsi="Corbel" w:cs="Arial"/>
          <w:sz w:val="24"/>
          <w:szCs w:val="24"/>
          <w:shd w:val="clear" w:color="auto" w:fill="FFFFFF"/>
        </w:rPr>
        <w:t xml:space="preserve">rants and </w:t>
      </w:r>
      <w:r w:rsidR="004A5F3E">
        <w:rPr>
          <w:rFonts w:ascii="Corbel" w:hAnsi="Corbel" w:cs="Arial"/>
          <w:sz w:val="24"/>
          <w:szCs w:val="24"/>
          <w:shd w:val="clear" w:color="auto" w:fill="FFFFFF"/>
        </w:rPr>
        <w:t>c</w:t>
      </w:r>
      <w:r w:rsidRPr="00AB01C8">
        <w:rPr>
          <w:rFonts w:ascii="Corbel" w:hAnsi="Corbel" w:cs="Arial"/>
          <w:sz w:val="24"/>
          <w:szCs w:val="24"/>
          <w:shd w:val="clear" w:color="auto" w:fill="FFFFFF"/>
        </w:rPr>
        <w:t>ontracts.</w:t>
      </w:r>
    </w:p>
    <w:p w:rsidR="00EB4395" w:rsidRPr="00EB4395" w:rsidRDefault="004A5F3E" w:rsidP="00250EF0">
      <w:pPr>
        <w:rPr>
          <w:rFonts w:ascii="Corbel" w:hAnsi="Corbel" w:cs="Arial"/>
          <w:b/>
          <w:sz w:val="24"/>
          <w:szCs w:val="24"/>
          <w:shd w:val="clear" w:color="auto" w:fill="FFFFFF"/>
        </w:rPr>
      </w:pPr>
      <w:r>
        <w:rPr>
          <w:rFonts w:ascii="Corbel" w:hAnsi="Corbel" w:cs="Arial"/>
          <w:b/>
          <w:sz w:val="24"/>
          <w:szCs w:val="24"/>
          <w:shd w:val="clear" w:color="auto" w:fill="FFFFFF"/>
        </w:rPr>
        <w:t>Student services support, recruitment and f</w:t>
      </w:r>
      <w:r w:rsidR="00EB4395" w:rsidRPr="00EB4395">
        <w:rPr>
          <w:rFonts w:ascii="Corbel" w:hAnsi="Corbel" w:cs="Arial"/>
          <w:b/>
          <w:sz w:val="24"/>
          <w:szCs w:val="24"/>
          <w:shd w:val="clear" w:color="auto" w:fill="FFFFFF"/>
        </w:rPr>
        <w:t>acilities</w:t>
      </w:r>
    </w:p>
    <w:p w:rsidR="00EB4395" w:rsidRDefault="00EB4395" w:rsidP="00250EF0">
      <w:pPr>
        <w:rPr>
          <w:rFonts w:ascii="Corbel" w:hAnsi="Corbel" w:cs="Arial"/>
          <w:sz w:val="24"/>
          <w:szCs w:val="24"/>
          <w:shd w:val="clear" w:color="auto" w:fill="FFFFFF"/>
        </w:rPr>
      </w:pPr>
      <w:r>
        <w:rPr>
          <w:rFonts w:ascii="Corbel" w:hAnsi="Corbel" w:cs="Arial"/>
          <w:sz w:val="24"/>
          <w:szCs w:val="24"/>
          <w:shd w:val="clear" w:color="auto" w:fill="FFFFFF"/>
        </w:rPr>
        <w:t>This relates to money spent on providing student support services including, for example, the grant to support the Students’ Union, sports facilities, the careers service, health centre and bus service. Examples of recruitment costs are the running of applicant visit days and the</w:t>
      </w:r>
      <w:r w:rsidR="00663875">
        <w:rPr>
          <w:rFonts w:ascii="Corbel" w:hAnsi="Corbel" w:cs="Arial"/>
          <w:sz w:val="24"/>
          <w:szCs w:val="24"/>
          <w:shd w:val="clear" w:color="auto" w:fill="FFFFFF"/>
        </w:rPr>
        <w:t xml:space="preserve"> employment of the</w:t>
      </w:r>
      <w:r>
        <w:rPr>
          <w:rFonts w:ascii="Corbel" w:hAnsi="Corbel" w:cs="Arial"/>
          <w:sz w:val="24"/>
          <w:szCs w:val="24"/>
          <w:shd w:val="clear" w:color="auto" w:fill="FFFFFF"/>
        </w:rPr>
        <w:t xml:space="preserve"> student admissions team. </w:t>
      </w:r>
    </w:p>
    <w:p w:rsidR="00EB4395" w:rsidRDefault="00EB4395" w:rsidP="00250EF0">
      <w:pPr>
        <w:rPr>
          <w:rFonts w:ascii="Corbel" w:hAnsi="Corbel" w:cs="Arial"/>
          <w:b/>
          <w:sz w:val="24"/>
          <w:szCs w:val="24"/>
          <w:shd w:val="clear" w:color="auto" w:fill="FFFFFF"/>
        </w:rPr>
      </w:pPr>
      <w:r w:rsidRPr="00EB4395">
        <w:rPr>
          <w:rFonts w:ascii="Corbel" w:hAnsi="Corbel" w:cs="Arial"/>
          <w:b/>
          <w:sz w:val="24"/>
          <w:szCs w:val="24"/>
          <w:shd w:val="clear" w:color="auto" w:fill="FFFFFF"/>
        </w:rPr>
        <w:t>Bursaries and scholarships</w:t>
      </w:r>
    </w:p>
    <w:p w:rsidR="00EB4395" w:rsidRPr="00EB4395" w:rsidRDefault="00EB4395" w:rsidP="00250EF0">
      <w:pPr>
        <w:rPr>
          <w:rFonts w:ascii="Corbel" w:hAnsi="Corbel" w:cs="Arial"/>
          <w:sz w:val="24"/>
          <w:szCs w:val="24"/>
          <w:shd w:val="clear" w:color="auto" w:fill="FFFFFF"/>
        </w:rPr>
      </w:pPr>
      <w:r w:rsidRPr="00EB4395">
        <w:rPr>
          <w:rFonts w:ascii="Corbel" w:hAnsi="Corbel" w:cs="Arial"/>
          <w:sz w:val="24"/>
          <w:szCs w:val="24"/>
          <w:shd w:val="clear" w:color="auto" w:fill="FFFFFF"/>
        </w:rPr>
        <w:t xml:space="preserve">This relates to money spent on fee waivers, scholarships and bursaries awarded to students across </w:t>
      </w:r>
      <w:r w:rsidR="004A5F3E">
        <w:rPr>
          <w:rFonts w:ascii="Corbel" w:hAnsi="Corbel" w:cs="Arial"/>
          <w:sz w:val="24"/>
          <w:szCs w:val="24"/>
          <w:shd w:val="clear" w:color="auto" w:fill="FFFFFF"/>
        </w:rPr>
        <w:t>the university</w:t>
      </w:r>
      <w:r w:rsidRPr="00EB4395">
        <w:rPr>
          <w:rFonts w:ascii="Corbel" w:hAnsi="Corbel" w:cs="Arial"/>
          <w:sz w:val="24"/>
          <w:szCs w:val="24"/>
          <w:shd w:val="clear" w:color="auto" w:fill="FFFFFF"/>
        </w:rPr>
        <w:t xml:space="preserve">. </w:t>
      </w:r>
    </w:p>
    <w:p w:rsidR="00EB4395" w:rsidRPr="00AB01C8" w:rsidRDefault="004A5F3E" w:rsidP="00EB4395">
      <w:pPr>
        <w:rPr>
          <w:rFonts w:ascii="Corbel" w:hAnsi="Corbel" w:cs="Arial"/>
          <w:b/>
          <w:sz w:val="24"/>
          <w:szCs w:val="24"/>
          <w:shd w:val="clear" w:color="auto" w:fill="FFFFFF"/>
        </w:rPr>
      </w:pPr>
      <w:r>
        <w:rPr>
          <w:rFonts w:ascii="Corbel" w:hAnsi="Corbel" w:cs="Arial"/>
          <w:b/>
          <w:sz w:val="24"/>
          <w:szCs w:val="24"/>
          <w:shd w:val="clear" w:color="auto" w:fill="FFFFFF"/>
        </w:rPr>
        <w:t>Residence and c</w:t>
      </w:r>
      <w:r w:rsidR="00EB4395" w:rsidRPr="00AB01C8">
        <w:rPr>
          <w:rFonts w:ascii="Corbel" w:hAnsi="Corbel" w:cs="Arial"/>
          <w:b/>
          <w:sz w:val="24"/>
          <w:szCs w:val="24"/>
          <w:shd w:val="clear" w:color="auto" w:fill="FFFFFF"/>
        </w:rPr>
        <w:t>atering</w:t>
      </w:r>
    </w:p>
    <w:p w:rsidR="00EB4395" w:rsidRDefault="00EB4395" w:rsidP="00EB4395">
      <w:pPr>
        <w:pStyle w:val="NormalWeb"/>
        <w:shd w:val="clear" w:color="auto" w:fill="FFFFFF"/>
        <w:spacing w:before="0" w:beforeAutospacing="0" w:after="240" w:afterAutospacing="0" w:line="348" w:lineRule="atLeast"/>
        <w:textAlignment w:val="baseline"/>
        <w:rPr>
          <w:rFonts w:ascii="Corbel" w:hAnsi="Corbel" w:cs="Arial"/>
        </w:rPr>
      </w:pPr>
      <w:r w:rsidRPr="00AB01C8">
        <w:rPr>
          <w:rFonts w:ascii="Corbel" w:hAnsi="Corbel" w:cs="Arial"/>
        </w:rPr>
        <w:t>This is expenditure incurred in providing the residence, catering and any conference operations, including the cost of maintenance of residential and catering premises, salaries and any other identifiable costs relating to these operations.</w:t>
      </w:r>
    </w:p>
    <w:p w:rsidR="00EB4395" w:rsidRPr="00AB01C8" w:rsidRDefault="00EB4395" w:rsidP="00EB4395">
      <w:pPr>
        <w:pStyle w:val="NormalWeb"/>
        <w:shd w:val="clear" w:color="auto" w:fill="FFFFFF"/>
        <w:spacing w:before="0" w:beforeAutospacing="0" w:after="240" w:afterAutospacing="0" w:line="348" w:lineRule="atLeast"/>
        <w:textAlignment w:val="baseline"/>
        <w:rPr>
          <w:rFonts w:ascii="Corbel" w:hAnsi="Corbel" w:cs="Arial"/>
          <w:b/>
        </w:rPr>
      </w:pPr>
      <w:r w:rsidRPr="00AB01C8">
        <w:rPr>
          <w:rFonts w:ascii="Corbel" w:hAnsi="Corbel" w:cs="Arial"/>
          <w:b/>
        </w:rPr>
        <w:lastRenderedPageBreak/>
        <w:t>Premises</w:t>
      </w:r>
    </w:p>
    <w:p w:rsidR="00EB4395" w:rsidRPr="00AB01C8" w:rsidRDefault="00EB4395" w:rsidP="00EB4395">
      <w:pPr>
        <w:pStyle w:val="NormalWeb"/>
        <w:shd w:val="clear" w:color="auto" w:fill="FFFFFF"/>
        <w:spacing w:before="0" w:beforeAutospacing="0" w:after="240" w:afterAutospacing="0" w:line="348" w:lineRule="atLeast"/>
        <w:textAlignment w:val="baseline"/>
        <w:rPr>
          <w:rFonts w:ascii="Corbel" w:hAnsi="Corbel" w:cs="Arial"/>
          <w:shd w:val="clear" w:color="auto" w:fill="FFFFFF"/>
        </w:rPr>
      </w:pPr>
      <w:r w:rsidRPr="00AB01C8">
        <w:rPr>
          <w:rFonts w:ascii="Corbel" w:hAnsi="Corbel" w:cs="Arial"/>
          <w:shd w:val="clear" w:color="auto" w:fill="FFFFFF"/>
        </w:rPr>
        <w:t>This is expenditure incurred (whether centrally or departmentally) on the management of premises</w:t>
      </w:r>
      <w:r w:rsidR="00663875">
        <w:rPr>
          <w:rFonts w:ascii="Corbel" w:hAnsi="Corbel" w:cs="Arial"/>
          <w:shd w:val="clear" w:color="auto" w:fill="FFFFFF"/>
        </w:rPr>
        <w:t>. This includes</w:t>
      </w:r>
      <w:r w:rsidRPr="00AB01C8">
        <w:rPr>
          <w:rFonts w:ascii="Corbel" w:hAnsi="Corbel" w:cs="Arial"/>
          <w:shd w:val="clear" w:color="auto" w:fill="FFFFFF"/>
        </w:rPr>
        <w:t xml:space="preserve"> academic buildings, central </w:t>
      </w:r>
      <w:r w:rsidR="006E634D">
        <w:rPr>
          <w:rFonts w:ascii="Corbel" w:hAnsi="Corbel" w:cs="Arial"/>
          <w:shd w:val="clear" w:color="auto" w:fill="FFFFFF"/>
        </w:rPr>
        <w:t xml:space="preserve">academic services, </w:t>
      </w:r>
      <w:r w:rsidRPr="00AB01C8">
        <w:rPr>
          <w:rFonts w:ascii="Corbel" w:hAnsi="Corbel" w:cs="Arial"/>
          <w:shd w:val="clear" w:color="auto" w:fill="FFFFFF"/>
        </w:rPr>
        <w:t>sports buildings</w:t>
      </w:r>
      <w:r w:rsidR="006E634D">
        <w:rPr>
          <w:rFonts w:ascii="Corbel" w:hAnsi="Corbel" w:cs="Arial"/>
          <w:shd w:val="clear" w:color="auto" w:fill="FFFFFF"/>
        </w:rPr>
        <w:t>,</w:t>
      </w:r>
      <w:r w:rsidRPr="00AB01C8">
        <w:rPr>
          <w:rFonts w:ascii="Corbel" w:hAnsi="Corbel" w:cs="Arial"/>
          <w:shd w:val="clear" w:color="auto" w:fill="FFFFFF"/>
        </w:rPr>
        <w:t xml:space="preserve"> etc and on roads and grounds</w:t>
      </w:r>
      <w:r w:rsidR="00663875">
        <w:rPr>
          <w:rFonts w:ascii="Corbel" w:hAnsi="Corbel" w:cs="Arial"/>
          <w:shd w:val="clear" w:color="auto" w:fill="FFFFFF"/>
        </w:rPr>
        <w:t xml:space="preserve">. Residences and catering are covered by the category above. </w:t>
      </w:r>
    </w:p>
    <w:p w:rsidR="00EB4395" w:rsidRPr="00AB01C8" w:rsidRDefault="004A5F3E" w:rsidP="00EB4395">
      <w:pPr>
        <w:pStyle w:val="NormalWeb"/>
        <w:shd w:val="clear" w:color="auto" w:fill="FFFFFF"/>
        <w:spacing w:before="0" w:beforeAutospacing="0" w:after="240" w:afterAutospacing="0" w:line="348" w:lineRule="atLeast"/>
        <w:textAlignment w:val="baseline"/>
        <w:rPr>
          <w:rFonts w:ascii="Corbel" w:hAnsi="Corbel" w:cs="Arial"/>
          <w:b/>
        </w:rPr>
      </w:pPr>
      <w:r>
        <w:rPr>
          <w:rFonts w:ascii="Corbel" w:hAnsi="Corbel" w:cs="Arial"/>
          <w:b/>
          <w:shd w:val="clear" w:color="auto" w:fill="FFFFFF"/>
        </w:rPr>
        <w:t>Academic s</w:t>
      </w:r>
      <w:r w:rsidR="00EB4395" w:rsidRPr="00AB01C8">
        <w:rPr>
          <w:rFonts w:ascii="Corbel" w:hAnsi="Corbel" w:cs="Arial"/>
          <w:b/>
          <w:shd w:val="clear" w:color="auto" w:fill="FFFFFF"/>
        </w:rPr>
        <w:t>ervices</w:t>
      </w:r>
    </w:p>
    <w:p w:rsidR="00EB4395" w:rsidRDefault="00EB4395" w:rsidP="00EB4395">
      <w:pPr>
        <w:rPr>
          <w:rFonts w:ascii="Corbel" w:hAnsi="Corbel" w:cs="Arial"/>
          <w:sz w:val="24"/>
          <w:szCs w:val="24"/>
          <w:shd w:val="clear" w:color="auto" w:fill="FFFFFF"/>
        </w:rPr>
      </w:pPr>
      <w:r w:rsidRPr="00AB01C8">
        <w:rPr>
          <w:rFonts w:ascii="Corbel" w:hAnsi="Corbel" w:cs="Arial"/>
          <w:sz w:val="24"/>
          <w:szCs w:val="24"/>
          <w:shd w:val="clear" w:color="auto" w:fill="FFFFFF"/>
        </w:rPr>
        <w:t>This is expenditure incurred on centralised academic services such as the library, learning resource centres, central computers, etc.</w:t>
      </w:r>
    </w:p>
    <w:p w:rsidR="00EB4395" w:rsidRPr="00AB01C8" w:rsidRDefault="004A5F3E" w:rsidP="00EB4395">
      <w:pPr>
        <w:pStyle w:val="NormalWeb"/>
        <w:shd w:val="clear" w:color="auto" w:fill="FFFFFF"/>
        <w:spacing w:before="0" w:beforeAutospacing="0" w:after="240" w:afterAutospacing="0" w:line="348" w:lineRule="atLeast"/>
        <w:textAlignment w:val="baseline"/>
        <w:rPr>
          <w:rFonts w:ascii="Corbel" w:hAnsi="Corbel" w:cs="Arial"/>
          <w:b/>
        </w:rPr>
      </w:pPr>
      <w:r>
        <w:rPr>
          <w:rFonts w:ascii="Corbel" w:hAnsi="Corbel" w:cs="Arial"/>
          <w:b/>
          <w:shd w:val="clear" w:color="auto" w:fill="FFFFFF"/>
        </w:rPr>
        <w:t>Research g</w:t>
      </w:r>
      <w:r w:rsidR="00EB4395">
        <w:rPr>
          <w:rFonts w:ascii="Corbel" w:hAnsi="Corbel" w:cs="Arial"/>
          <w:b/>
          <w:shd w:val="clear" w:color="auto" w:fill="FFFFFF"/>
        </w:rPr>
        <w:t>rants &amp;</w:t>
      </w:r>
      <w:r>
        <w:rPr>
          <w:rFonts w:ascii="Corbel" w:hAnsi="Corbel" w:cs="Arial"/>
          <w:b/>
          <w:shd w:val="clear" w:color="auto" w:fill="FFFFFF"/>
        </w:rPr>
        <w:t xml:space="preserve"> c</w:t>
      </w:r>
      <w:r w:rsidR="00EB4395" w:rsidRPr="00AB01C8">
        <w:rPr>
          <w:rFonts w:ascii="Corbel" w:hAnsi="Corbel" w:cs="Arial"/>
          <w:b/>
          <w:shd w:val="clear" w:color="auto" w:fill="FFFFFF"/>
        </w:rPr>
        <w:t>ontracts</w:t>
      </w:r>
    </w:p>
    <w:p w:rsidR="00EB4395" w:rsidRDefault="00EB4395" w:rsidP="00EB4395">
      <w:pPr>
        <w:pStyle w:val="NormalWeb"/>
        <w:shd w:val="clear" w:color="auto" w:fill="FFFFFF"/>
        <w:spacing w:before="0" w:beforeAutospacing="0" w:after="240" w:afterAutospacing="0" w:line="348" w:lineRule="atLeast"/>
        <w:textAlignment w:val="baseline"/>
        <w:rPr>
          <w:rFonts w:ascii="Corbel" w:hAnsi="Corbel" w:cs="Arial"/>
          <w:shd w:val="clear" w:color="auto" w:fill="FFFFFF"/>
        </w:rPr>
      </w:pPr>
      <w:r w:rsidRPr="00AB01C8">
        <w:rPr>
          <w:rFonts w:ascii="Corbel" w:hAnsi="Corbel" w:cs="Arial"/>
          <w:shd w:val="clear" w:color="auto" w:fill="FFFFFF"/>
        </w:rPr>
        <w:t>These are direct costs attributed to research grants and contracts.</w:t>
      </w:r>
    </w:p>
    <w:p w:rsidR="00250EF0" w:rsidRPr="00AB01C8" w:rsidRDefault="00EB4395" w:rsidP="00250EF0">
      <w:pPr>
        <w:rPr>
          <w:rFonts w:ascii="Corbel" w:hAnsi="Corbel" w:cs="Arial"/>
          <w:b/>
          <w:sz w:val="24"/>
          <w:szCs w:val="24"/>
          <w:shd w:val="clear" w:color="auto" w:fill="FFFFFF"/>
        </w:rPr>
      </w:pPr>
      <w:r>
        <w:rPr>
          <w:rFonts w:ascii="Corbel" w:hAnsi="Corbel" w:cs="Arial"/>
          <w:b/>
          <w:sz w:val="24"/>
          <w:szCs w:val="24"/>
          <w:shd w:val="clear" w:color="auto" w:fill="FFFFFF"/>
        </w:rPr>
        <w:t xml:space="preserve">Central </w:t>
      </w:r>
      <w:r w:rsidR="004A5F3E">
        <w:rPr>
          <w:rFonts w:ascii="Corbel" w:hAnsi="Corbel" w:cs="Arial"/>
          <w:b/>
          <w:sz w:val="24"/>
          <w:szCs w:val="24"/>
          <w:shd w:val="clear" w:color="auto" w:fill="FFFFFF"/>
        </w:rPr>
        <w:t>a</w:t>
      </w:r>
      <w:r w:rsidR="00250EF0" w:rsidRPr="00AB01C8">
        <w:rPr>
          <w:rFonts w:ascii="Corbel" w:hAnsi="Corbel" w:cs="Arial"/>
          <w:b/>
          <w:sz w:val="24"/>
          <w:szCs w:val="24"/>
          <w:shd w:val="clear" w:color="auto" w:fill="FFFFFF"/>
        </w:rPr>
        <w:t xml:space="preserve">dministration </w:t>
      </w:r>
      <w:r>
        <w:rPr>
          <w:rFonts w:ascii="Corbel" w:hAnsi="Corbel" w:cs="Arial"/>
          <w:b/>
          <w:sz w:val="24"/>
          <w:szCs w:val="24"/>
          <w:shd w:val="clear" w:color="auto" w:fill="FFFFFF"/>
        </w:rPr>
        <w:t>&amp;</w:t>
      </w:r>
      <w:r w:rsidR="004A5F3E">
        <w:rPr>
          <w:rFonts w:ascii="Corbel" w:hAnsi="Corbel" w:cs="Arial"/>
          <w:b/>
          <w:sz w:val="24"/>
          <w:szCs w:val="24"/>
          <w:shd w:val="clear" w:color="auto" w:fill="FFFFFF"/>
        </w:rPr>
        <w:t xml:space="preserve"> s</w:t>
      </w:r>
      <w:r w:rsidR="00250EF0" w:rsidRPr="00AB01C8">
        <w:rPr>
          <w:rFonts w:ascii="Corbel" w:hAnsi="Corbel" w:cs="Arial"/>
          <w:b/>
          <w:sz w:val="24"/>
          <w:szCs w:val="24"/>
          <w:shd w:val="clear" w:color="auto" w:fill="FFFFFF"/>
        </w:rPr>
        <w:t>ervices</w:t>
      </w:r>
    </w:p>
    <w:p w:rsidR="00250EF0" w:rsidRPr="00AB01C8" w:rsidRDefault="00250EF0" w:rsidP="00250EF0">
      <w:pPr>
        <w:rPr>
          <w:rFonts w:ascii="Corbel" w:hAnsi="Corbel" w:cs="Arial"/>
          <w:sz w:val="24"/>
          <w:szCs w:val="24"/>
          <w:shd w:val="clear" w:color="auto" w:fill="FFFFFF"/>
        </w:rPr>
      </w:pPr>
      <w:r w:rsidRPr="00AB01C8">
        <w:rPr>
          <w:rFonts w:ascii="Corbel" w:hAnsi="Corbel" w:cs="Arial"/>
          <w:sz w:val="24"/>
          <w:szCs w:val="24"/>
          <w:shd w:val="clear" w:color="auto" w:fill="FFFFFF"/>
        </w:rPr>
        <w:t>This is expenditure incurred on central administration, staff and student facilities and amenities, and general educational expenditure.</w:t>
      </w:r>
    </w:p>
    <w:p w:rsidR="00250EF0" w:rsidRPr="00AB01C8" w:rsidRDefault="00250EF0" w:rsidP="00250EF0">
      <w:pPr>
        <w:rPr>
          <w:rFonts w:ascii="Corbel" w:hAnsi="Corbel" w:cs="Arial"/>
          <w:b/>
          <w:sz w:val="24"/>
          <w:szCs w:val="24"/>
          <w:shd w:val="clear" w:color="auto" w:fill="FFFFFF"/>
        </w:rPr>
      </w:pPr>
      <w:r w:rsidRPr="00AB01C8">
        <w:rPr>
          <w:rFonts w:ascii="Corbel" w:hAnsi="Corbel" w:cs="Arial"/>
          <w:b/>
          <w:sz w:val="24"/>
          <w:szCs w:val="24"/>
          <w:shd w:val="clear" w:color="auto" w:fill="FFFFFF"/>
        </w:rPr>
        <w:t>Other</w:t>
      </w:r>
    </w:p>
    <w:p w:rsidR="00EB4395" w:rsidRDefault="00250EF0" w:rsidP="00250EF0">
      <w:pPr>
        <w:rPr>
          <w:rFonts w:ascii="Corbel" w:hAnsi="Corbel" w:cs="Arial"/>
          <w:sz w:val="24"/>
          <w:szCs w:val="24"/>
        </w:rPr>
      </w:pPr>
      <w:r w:rsidRPr="00AB01C8">
        <w:rPr>
          <w:rFonts w:ascii="Corbel" w:hAnsi="Corbel" w:cs="Arial"/>
          <w:sz w:val="24"/>
          <w:szCs w:val="24"/>
        </w:rPr>
        <w:t xml:space="preserve">These are direct costs attributed to other services </w:t>
      </w:r>
      <w:r w:rsidR="004A5F3E">
        <w:rPr>
          <w:rFonts w:ascii="Corbel" w:hAnsi="Corbel" w:cs="Arial"/>
          <w:sz w:val="24"/>
          <w:szCs w:val="24"/>
        </w:rPr>
        <w:t>used by the university</w:t>
      </w:r>
      <w:r w:rsidR="009D41C3">
        <w:rPr>
          <w:rFonts w:ascii="Corbel" w:hAnsi="Corbel" w:cs="Arial"/>
          <w:sz w:val="24"/>
          <w:szCs w:val="24"/>
        </w:rPr>
        <w:t xml:space="preserve"> </w:t>
      </w:r>
      <w:r w:rsidRPr="00AB01C8">
        <w:rPr>
          <w:rFonts w:ascii="Corbel" w:hAnsi="Corbel" w:cs="Arial"/>
          <w:sz w:val="24"/>
          <w:szCs w:val="24"/>
        </w:rPr>
        <w:t>and any expenditure not already covered.</w:t>
      </w:r>
    </w:p>
    <w:p w:rsidR="00EF2C7D" w:rsidRDefault="00EF2C7D" w:rsidP="00250EF0">
      <w:pPr>
        <w:pStyle w:val="NormalWeb"/>
        <w:shd w:val="clear" w:color="auto" w:fill="FFFFFF"/>
        <w:spacing w:before="0" w:beforeAutospacing="0" w:after="240" w:afterAutospacing="0" w:line="348" w:lineRule="atLeast"/>
        <w:textAlignment w:val="baseline"/>
        <w:rPr>
          <w:rFonts w:ascii="Corbel" w:hAnsi="Corbel" w:cs="Arial"/>
        </w:rPr>
      </w:pPr>
      <w:r>
        <w:rPr>
          <w:rFonts w:ascii="Corbel" w:hAnsi="Corbel" w:cs="Arial"/>
        </w:rPr>
        <w:t xml:space="preserve">The chart below shows the </w:t>
      </w:r>
      <w:r w:rsidR="004A5F3E">
        <w:rPr>
          <w:rFonts w:ascii="Corbel" w:hAnsi="Corbel" w:cs="Arial"/>
        </w:rPr>
        <w:t>university’s</w:t>
      </w:r>
      <w:r>
        <w:rPr>
          <w:rFonts w:ascii="Corbel" w:hAnsi="Corbel" w:cs="Arial"/>
        </w:rPr>
        <w:t xml:space="preserve"> expenditure for 201</w:t>
      </w:r>
      <w:r w:rsidR="00A822AF">
        <w:rPr>
          <w:rFonts w:ascii="Corbel" w:hAnsi="Corbel" w:cs="Arial"/>
        </w:rPr>
        <w:t xml:space="preserve">4-15 and </w:t>
      </w:r>
      <w:r>
        <w:rPr>
          <w:rFonts w:ascii="Corbel" w:hAnsi="Corbel" w:cs="Arial"/>
        </w:rPr>
        <w:t>20</w:t>
      </w:r>
      <w:r w:rsidR="00A822AF">
        <w:rPr>
          <w:rFonts w:ascii="Corbel" w:hAnsi="Corbel" w:cs="Arial"/>
        </w:rPr>
        <w:t>15-16</w:t>
      </w:r>
      <w:r>
        <w:rPr>
          <w:rFonts w:ascii="Corbel" w:hAnsi="Corbel" w:cs="Arial"/>
        </w:rPr>
        <w:t xml:space="preserve"> for comparison purposes. </w:t>
      </w:r>
    </w:p>
    <w:p w:rsidR="00A822AF" w:rsidRDefault="00AE530D" w:rsidP="00250EF0">
      <w:pPr>
        <w:pStyle w:val="NormalWeb"/>
        <w:shd w:val="clear" w:color="auto" w:fill="FFFFFF"/>
        <w:spacing w:before="0" w:beforeAutospacing="0" w:after="240" w:afterAutospacing="0" w:line="348" w:lineRule="atLeast"/>
        <w:textAlignment w:val="baseline"/>
        <w:rPr>
          <w:rFonts w:ascii="Corbel" w:hAnsi="Corbel" w:cs="Arial"/>
        </w:rPr>
      </w:pPr>
      <w:r>
        <w:rPr>
          <w:noProof/>
        </w:rPr>
        <w:lastRenderedPageBreak/>
        <w:drawing>
          <wp:inline distT="0" distB="0" distL="0" distR="0" wp14:anchorId="47A66ECF" wp14:editId="41AAEE53">
            <wp:extent cx="6236581" cy="3548380"/>
            <wp:effectExtent l="0" t="0" r="12065"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403E2" w:rsidRDefault="00D403E2" w:rsidP="00250EF0">
      <w:pPr>
        <w:pStyle w:val="NormalWeb"/>
        <w:shd w:val="clear" w:color="auto" w:fill="FFFFFF"/>
        <w:spacing w:before="0" w:beforeAutospacing="0" w:after="240" w:afterAutospacing="0" w:line="348" w:lineRule="atLeast"/>
        <w:textAlignment w:val="baseline"/>
        <w:rPr>
          <w:rFonts w:ascii="Corbel" w:hAnsi="Corbel" w:cs="Arial"/>
        </w:rPr>
      </w:pPr>
    </w:p>
    <w:p w:rsidR="009B1650" w:rsidRDefault="009B1650" w:rsidP="00250EF0">
      <w:pPr>
        <w:rPr>
          <w:rFonts w:ascii="Corbel" w:hAnsi="Corbel"/>
          <w:b/>
          <w:sz w:val="24"/>
          <w:szCs w:val="24"/>
        </w:rPr>
      </w:pPr>
    </w:p>
    <w:p w:rsidR="00107B94" w:rsidRDefault="00107B94" w:rsidP="00250EF0">
      <w:pPr>
        <w:rPr>
          <w:rFonts w:ascii="Corbel" w:hAnsi="Corbel"/>
          <w:b/>
          <w:sz w:val="24"/>
          <w:szCs w:val="24"/>
        </w:rPr>
      </w:pPr>
    </w:p>
    <w:p w:rsidR="00EB4395" w:rsidRDefault="00EB4395" w:rsidP="00250EF0">
      <w:pPr>
        <w:rPr>
          <w:rFonts w:ascii="Corbel" w:hAnsi="Corbel"/>
          <w:b/>
          <w:sz w:val="24"/>
          <w:szCs w:val="24"/>
        </w:rPr>
      </w:pPr>
    </w:p>
    <w:p w:rsidR="00EB4395" w:rsidRDefault="00EB4395" w:rsidP="00250EF0">
      <w:pPr>
        <w:rPr>
          <w:rFonts w:ascii="Corbel" w:hAnsi="Corbel"/>
          <w:b/>
          <w:sz w:val="24"/>
          <w:szCs w:val="24"/>
        </w:rPr>
      </w:pPr>
    </w:p>
    <w:p w:rsidR="00EB4395" w:rsidRDefault="00EB4395" w:rsidP="00250EF0">
      <w:pPr>
        <w:rPr>
          <w:rFonts w:ascii="Corbel" w:hAnsi="Corbel"/>
          <w:b/>
          <w:sz w:val="24"/>
          <w:szCs w:val="24"/>
        </w:rPr>
      </w:pPr>
    </w:p>
    <w:p w:rsidR="00EB4395" w:rsidRDefault="00EB4395" w:rsidP="00250EF0">
      <w:pPr>
        <w:rPr>
          <w:rFonts w:ascii="Corbel" w:hAnsi="Corbel"/>
          <w:b/>
          <w:sz w:val="24"/>
          <w:szCs w:val="24"/>
        </w:rPr>
      </w:pPr>
    </w:p>
    <w:p w:rsidR="00EB4395" w:rsidRDefault="00EB4395" w:rsidP="00250EF0">
      <w:pPr>
        <w:rPr>
          <w:rFonts w:ascii="Corbel" w:hAnsi="Corbel"/>
          <w:b/>
          <w:sz w:val="24"/>
          <w:szCs w:val="24"/>
        </w:rPr>
      </w:pPr>
    </w:p>
    <w:p w:rsidR="009D41C3" w:rsidRDefault="009D41C3" w:rsidP="00250EF0">
      <w:pPr>
        <w:rPr>
          <w:rFonts w:ascii="Corbel" w:hAnsi="Corbel"/>
          <w:b/>
          <w:sz w:val="24"/>
          <w:szCs w:val="24"/>
        </w:rPr>
      </w:pPr>
    </w:p>
    <w:p w:rsidR="009D41C3" w:rsidRDefault="009D41C3" w:rsidP="00250EF0">
      <w:pPr>
        <w:rPr>
          <w:rFonts w:ascii="Corbel" w:hAnsi="Corbel"/>
          <w:b/>
          <w:sz w:val="24"/>
          <w:szCs w:val="24"/>
        </w:rPr>
      </w:pPr>
    </w:p>
    <w:p w:rsidR="00EB4395" w:rsidRDefault="00EB4395" w:rsidP="00250EF0">
      <w:pPr>
        <w:rPr>
          <w:rFonts w:ascii="Corbel" w:hAnsi="Corbel"/>
          <w:b/>
          <w:sz w:val="24"/>
          <w:szCs w:val="24"/>
        </w:rPr>
      </w:pPr>
    </w:p>
    <w:p w:rsidR="00250EF0" w:rsidRPr="00D403E2" w:rsidRDefault="00AB01C8" w:rsidP="00250EF0">
      <w:pPr>
        <w:rPr>
          <w:rFonts w:ascii="Corbel" w:hAnsi="Corbel"/>
          <w:b/>
          <w:sz w:val="24"/>
          <w:szCs w:val="24"/>
        </w:rPr>
      </w:pPr>
      <w:r w:rsidRPr="00D403E2">
        <w:rPr>
          <w:rFonts w:ascii="Corbel" w:hAnsi="Corbel"/>
          <w:b/>
          <w:sz w:val="24"/>
          <w:szCs w:val="24"/>
        </w:rPr>
        <w:t>INVESTMENT</w:t>
      </w:r>
    </w:p>
    <w:p w:rsidR="00925268" w:rsidRDefault="004A5F3E" w:rsidP="00925268">
      <w:pPr>
        <w:rPr>
          <w:rFonts w:ascii="Corbel" w:hAnsi="Corbel"/>
          <w:sz w:val="24"/>
          <w:szCs w:val="24"/>
        </w:rPr>
      </w:pPr>
      <w:r>
        <w:rPr>
          <w:rFonts w:ascii="Corbel" w:hAnsi="Corbel"/>
          <w:sz w:val="24"/>
          <w:szCs w:val="24"/>
        </w:rPr>
        <w:lastRenderedPageBreak/>
        <w:t>The university</w:t>
      </w:r>
      <w:r w:rsidR="00AB01C8" w:rsidRPr="00AB01C8">
        <w:rPr>
          <w:rFonts w:ascii="Corbel" w:hAnsi="Corbel"/>
          <w:sz w:val="24"/>
          <w:szCs w:val="24"/>
        </w:rPr>
        <w:t xml:space="preserve"> invest</w:t>
      </w:r>
      <w:r w:rsidR="00663875">
        <w:rPr>
          <w:rFonts w:ascii="Corbel" w:hAnsi="Corbel"/>
          <w:sz w:val="24"/>
          <w:szCs w:val="24"/>
        </w:rPr>
        <w:t xml:space="preserve">s in the future in a number of ways. This includes investing in our equipment, systems, people, </w:t>
      </w:r>
      <w:r w:rsidR="00C73629">
        <w:rPr>
          <w:rFonts w:ascii="Corbel" w:hAnsi="Corbel"/>
          <w:sz w:val="24"/>
          <w:szCs w:val="24"/>
        </w:rPr>
        <w:t xml:space="preserve">processes and buildings. There were a number of significant </w:t>
      </w:r>
      <w:r w:rsidR="00925268">
        <w:rPr>
          <w:rFonts w:ascii="Corbel" w:hAnsi="Corbel"/>
          <w:sz w:val="24"/>
          <w:szCs w:val="24"/>
        </w:rPr>
        <w:t xml:space="preserve">projects last year including: </w:t>
      </w:r>
    </w:p>
    <w:p w:rsidR="00AB01C8" w:rsidRPr="00925268" w:rsidRDefault="004A5F3E" w:rsidP="00925268">
      <w:pPr>
        <w:pStyle w:val="ListParagraph"/>
        <w:numPr>
          <w:ilvl w:val="0"/>
          <w:numId w:val="3"/>
        </w:numPr>
        <w:rPr>
          <w:rFonts w:ascii="Corbel" w:hAnsi="Corbel"/>
          <w:sz w:val="24"/>
          <w:szCs w:val="24"/>
        </w:rPr>
      </w:pPr>
      <w:r>
        <w:rPr>
          <w:rFonts w:ascii="Corbel" w:hAnsi="Corbel"/>
          <w:sz w:val="24"/>
          <w:szCs w:val="24"/>
        </w:rPr>
        <w:t>The Emily Wilding Davison Building, our n</w:t>
      </w:r>
      <w:r w:rsidR="00AB01C8" w:rsidRPr="00925268">
        <w:rPr>
          <w:rFonts w:ascii="Corbel" w:hAnsi="Corbel"/>
          <w:sz w:val="24"/>
          <w:szCs w:val="24"/>
        </w:rPr>
        <w:t>ew library</w:t>
      </w:r>
      <w:r w:rsidR="006E634D" w:rsidRPr="00925268">
        <w:rPr>
          <w:rFonts w:ascii="Corbel" w:hAnsi="Corbel"/>
          <w:sz w:val="24"/>
          <w:szCs w:val="24"/>
        </w:rPr>
        <w:t xml:space="preserve"> and student services centre</w:t>
      </w:r>
      <w:r w:rsidR="002637A7">
        <w:rPr>
          <w:rFonts w:ascii="Corbel" w:hAnsi="Corbel"/>
          <w:sz w:val="24"/>
          <w:szCs w:val="24"/>
        </w:rPr>
        <w:t xml:space="preserve"> –  </w:t>
      </w:r>
      <w:r w:rsidR="00925268">
        <w:rPr>
          <w:rFonts w:ascii="Corbel" w:hAnsi="Corbel"/>
          <w:sz w:val="24"/>
          <w:szCs w:val="24"/>
        </w:rPr>
        <w:t xml:space="preserve">work has been continuing on this development and has progressed throughout the year. We anticipate the project will be completed this year (2017). </w:t>
      </w:r>
    </w:p>
    <w:p w:rsidR="00AB01C8" w:rsidRPr="006E634D" w:rsidRDefault="002637A7" w:rsidP="006E634D">
      <w:pPr>
        <w:pStyle w:val="ListParagraph"/>
        <w:numPr>
          <w:ilvl w:val="0"/>
          <w:numId w:val="3"/>
        </w:numPr>
        <w:rPr>
          <w:rFonts w:ascii="Corbel" w:hAnsi="Corbel"/>
          <w:sz w:val="24"/>
          <w:szCs w:val="24"/>
        </w:rPr>
      </w:pPr>
      <w:r>
        <w:rPr>
          <w:rFonts w:ascii="Corbel" w:hAnsi="Corbel"/>
          <w:sz w:val="24"/>
          <w:szCs w:val="24"/>
        </w:rPr>
        <w:t>The George Eliot Residences</w:t>
      </w:r>
      <w:r w:rsidR="00AB01C8">
        <w:rPr>
          <w:rFonts w:ascii="Corbel" w:hAnsi="Corbel"/>
          <w:sz w:val="24"/>
          <w:szCs w:val="24"/>
        </w:rPr>
        <w:t xml:space="preserve"> – </w:t>
      </w:r>
      <w:r w:rsidR="00925268">
        <w:rPr>
          <w:rFonts w:ascii="Corbel" w:hAnsi="Corbel"/>
          <w:sz w:val="24"/>
          <w:szCs w:val="24"/>
        </w:rPr>
        <w:t>just over £8 million</w:t>
      </w:r>
      <w:r w:rsidR="00AB01C8">
        <w:rPr>
          <w:rFonts w:ascii="Corbel" w:hAnsi="Corbel"/>
          <w:sz w:val="24"/>
          <w:szCs w:val="24"/>
        </w:rPr>
        <w:t xml:space="preserve"> was spent in</w:t>
      </w:r>
      <w:r w:rsidR="00663875">
        <w:rPr>
          <w:rFonts w:ascii="Corbel" w:hAnsi="Corbel"/>
          <w:sz w:val="24"/>
          <w:szCs w:val="24"/>
        </w:rPr>
        <w:t xml:space="preserve"> 2015</w:t>
      </w:r>
      <w:r w:rsidR="00925268">
        <w:rPr>
          <w:rFonts w:ascii="Corbel" w:hAnsi="Corbel"/>
          <w:sz w:val="24"/>
          <w:szCs w:val="24"/>
        </w:rPr>
        <w:t>-16</w:t>
      </w:r>
      <w:r w:rsidR="00663875">
        <w:rPr>
          <w:rFonts w:ascii="Corbel" w:hAnsi="Corbel"/>
          <w:sz w:val="24"/>
          <w:szCs w:val="24"/>
        </w:rPr>
        <w:t xml:space="preserve"> on the new residences</w:t>
      </w:r>
      <w:r w:rsidR="00AB2626">
        <w:rPr>
          <w:rFonts w:ascii="Corbel" w:hAnsi="Corbel"/>
          <w:sz w:val="24"/>
          <w:szCs w:val="24"/>
        </w:rPr>
        <w:t>, which are due to open in autumn 2017</w:t>
      </w:r>
      <w:r w:rsidR="00663875">
        <w:rPr>
          <w:rFonts w:ascii="Corbel" w:hAnsi="Corbel"/>
          <w:sz w:val="24"/>
          <w:szCs w:val="24"/>
        </w:rPr>
        <w:t xml:space="preserve">. </w:t>
      </w:r>
    </w:p>
    <w:p w:rsidR="00925268" w:rsidRDefault="002637A7" w:rsidP="00A2162A">
      <w:pPr>
        <w:pStyle w:val="ListParagraph"/>
        <w:numPr>
          <w:ilvl w:val="0"/>
          <w:numId w:val="3"/>
        </w:numPr>
        <w:rPr>
          <w:rFonts w:ascii="Corbel" w:hAnsi="Corbel"/>
          <w:sz w:val="24"/>
          <w:szCs w:val="24"/>
        </w:rPr>
      </w:pPr>
      <w:r>
        <w:rPr>
          <w:rFonts w:ascii="Corbel" w:hAnsi="Corbel"/>
          <w:sz w:val="24"/>
          <w:szCs w:val="24"/>
        </w:rPr>
        <w:t xml:space="preserve">The </w:t>
      </w:r>
      <w:r w:rsidR="00925268" w:rsidRPr="00925268">
        <w:rPr>
          <w:rFonts w:ascii="Corbel" w:hAnsi="Corbel"/>
          <w:sz w:val="24"/>
          <w:szCs w:val="24"/>
        </w:rPr>
        <w:t>Kingswood</w:t>
      </w:r>
      <w:r w:rsidR="00AB01C8" w:rsidRPr="00925268">
        <w:rPr>
          <w:rFonts w:ascii="Corbel" w:hAnsi="Corbel"/>
          <w:sz w:val="24"/>
          <w:szCs w:val="24"/>
        </w:rPr>
        <w:t xml:space="preserve"> </w:t>
      </w:r>
      <w:r>
        <w:rPr>
          <w:rFonts w:ascii="Corbel" w:hAnsi="Corbel"/>
          <w:sz w:val="24"/>
          <w:szCs w:val="24"/>
        </w:rPr>
        <w:t>residences were</w:t>
      </w:r>
      <w:r w:rsidR="00AB01C8" w:rsidRPr="00925268">
        <w:rPr>
          <w:rFonts w:ascii="Corbel" w:hAnsi="Corbel"/>
          <w:sz w:val="24"/>
          <w:szCs w:val="24"/>
        </w:rPr>
        <w:t xml:space="preserve"> refurbished </w:t>
      </w:r>
      <w:r w:rsidR="00925268" w:rsidRPr="00925268">
        <w:rPr>
          <w:rFonts w:ascii="Corbel" w:hAnsi="Corbel"/>
          <w:sz w:val="24"/>
          <w:szCs w:val="24"/>
        </w:rPr>
        <w:t>at a cost of £3.4 million</w:t>
      </w:r>
    </w:p>
    <w:p w:rsidR="006E634D" w:rsidRDefault="004A5F3E" w:rsidP="00925268">
      <w:pPr>
        <w:pStyle w:val="ListParagraph"/>
        <w:numPr>
          <w:ilvl w:val="0"/>
          <w:numId w:val="3"/>
        </w:numPr>
        <w:rPr>
          <w:rFonts w:ascii="Corbel" w:hAnsi="Corbel"/>
          <w:sz w:val="24"/>
          <w:szCs w:val="24"/>
        </w:rPr>
      </w:pPr>
      <w:r>
        <w:rPr>
          <w:rFonts w:ascii="Corbel" w:hAnsi="Corbel"/>
          <w:sz w:val="24"/>
          <w:szCs w:val="24"/>
        </w:rPr>
        <w:t>Work started on the new s</w:t>
      </w:r>
      <w:r w:rsidR="00925268">
        <w:rPr>
          <w:rFonts w:ascii="Corbel" w:hAnsi="Corbel"/>
          <w:sz w:val="24"/>
          <w:szCs w:val="24"/>
        </w:rPr>
        <w:t>cience building and £1.3 million has been spent so far</w:t>
      </w:r>
    </w:p>
    <w:p w:rsidR="00925268" w:rsidRDefault="00925268" w:rsidP="00925268">
      <w:pPr>
        <w:pStyle w:val="ListParagraph"/>
        <w:numPr>
          <w:ilvl w:val="0"/>
          <w:numId w:val="3"/>
        </w:numPr>
        <w:rPr>
          <w:rFonts w:ascii="Corbel" w:hAnsi="Corbel"/>
          <w:sz w:val="24"/>
          <w:szCs w:val="24"/>
        </w:rPr>
      </w:pPr>
      <w:r>
        <w:rPr>
          <w:rFonts w:ascii="Corbel" w:hAnsi="Corbel"/>
          <w:sz w:val="24"/>
          <w:szCs w:val="24"/>
        </w:rPr>
        <w:t xml:space="preserve">The new Boilerhouse Café was also created last year which required £1.0m. </w:t>
      </w:r>
    </w:p>
    <w:p w:rsidR="00AB2626" w:rsidRDefault="00AB01C8" w:rsidP="00AB01C8">
      <w:pPr>
        <w:rPr>
          <w:rFonts w:ascii="Corbel" w:hAnsi="Corbel"/>
          <w:sz w:val="24"/>
          <w:szCs w:val="24"/>
        </w:rPr>
      </w:pPr>
      <w:r>
        <w:rPr>
          <w:rFonts w:ascii="Corbel" w:hAnsi="Corbel"/>
          <w:sz w:val="24"/>
          <w:szCs w:val="24"/>
        </w:rPr>
        <w:t xml:space="preserve">There were a number of </w:t>
      </w:r>
      <w:r w:rsidR="00663875">
        <w:rPr>
          <w:rFonts w:ascii="Corbel" w:hAnsi="Corbel"/>
          <w:sz w:val="24"/>
          <w:szCs w:val="24"/>
        </w:rPr>
        <w:t>strategic</w:t>
      </w:r>
      <w:r>
        <w:rPr>
          <w:rFonts w:ascii="Corbel" w:hAnsi="Corbel"/>
          <w:sz w:val="24"/>
          <w:szCs w:val="24"/>
        </w:rPr>
        <w:t xml:space="preserve"> projects also taking place in </w:t>
      </w:r>
      <w:r w:rsidR="00D403E2">
        <w:rPr>
          <w:rFonts w:ascii="Corbel" w:hAnsi="Corbel"/>
          <w:sz w:val="24"/>
          <w:szCs w:val="24"/>
        </w:rPr>
        <w:t xml:space="preserve">the </w:t>
      </w:r>
      <w:r w:rsidR="004A5F3E">
        <w:rPr>
          <w:rFonts w:ascii="Corbel" w:hAnsi="Corbel"/>
          <w:sz w:val="24"/>
          <w:szCs w:val="24"/>
        </w:rPr>
        <w:t>university</w:t>
      </w:r>
      <w:r w:rsidR="00EF2C7D">
        <w:rPr>
          <w:rFonts w:ascii="Corbel" w:hAnsi="Corbel"/>
          <w:sz w:val="24"/>
          <w:szCs w:val="24"/>
        </w:rPr>
        <w:t xml:space="preserve"> last year, some of which are still ongoing, for example, </w:t>
      </w:r>
      <w:r w:rsidR="00D403E2">
        <w:rPr>
          <w:rFonts w:ascii="Corbel" w:hAnsi="Corbel"/>
          <w:sz w:val="24"/>
          <w:szCs w:val="24"/>
        </w:rPr>
        <w:t>Centralised Timetabling, Programme Validation Management</w:t>
      </w:r>
      <w:r w:rsidR="00925268">
        <w:rPr>
          <w:rFonts w:ascii="Corbel" w:hAnsi="Corbel"/>
          <w:sz w:val="24"/>
          <w:szCs w:val="24"/>
        </w:rPr>
        <w:t xml:space="preserve">. Others have been completed, for example, the introduction of the new direct applications solution RH Direct. </w:t>
      </w:r>
    </w:p>
    <w:p w:rsidR="00AB01C8" w:rsidRPr="00AB01C8" w:rsidRDefault="00925268" w:rsidP="00AB01C8">
      <w:pPr>
        <w:rPr>
          <w:rFonts w:ascii="Corbel" w:hAnsi="Corbel"/>
          <w:sz w:val="24"/>
          <w:szCs w:val="24"/>
        </w:rPr>
      </w:pPr>
      <w:r>
        <w:rPr>
          <w:rFonts w:ascii="Corbel" w:hAnsi="Corbel"/>
          <w:sz w:val="24"/>
          <w:szCs w:val="24"/>
        </w:rPr>
        <w:t xml:space="preserve">In addition, work </w:t>
      </w:r>
      <w:r w:rsidR="00AB2626">
        <w:rPr>
          <w:rFonts w:ascii="Corbel" w:hAnsi="Corbel"/>
          <w:sz w:val="24"/>
          <w:szCs w:val="24"/>
        </w:rPr>
        <w:t>is</w:t>
      </w:r>
      <w:r>
        <w:rPr>
          <w:rFonts w:ascii="Corbel" w:hAnsi="Corbel"/>
          <w:sz w:val="24"/>
          <w:szCs w:val="24"/>
        </w:rPr>
        <w:t xml:space="preserve"> underway on </w:t>
      </w:r>
      <w:r w:rsidR="00AB2626">
        <w:rPr>
          <w:rFonts w:ascii="Corbel" w:hAnsi="Corbel"/>
          <w:sz w:val="24"/>
          <w:szCs w:val="24"/>
        </w:rPr>
        <w:t xml:space="preserve">a project that we’re calling Student First. As part of this, we’re </w:t>
      </w:r>
      <w:r w:rsidR="00407138">
        <w:rPr>
          <w:rFonts w:ascii="Corbel" w:hAnsi="Corbel"/>
          <w:sz w:val="24"/>
          <w:szCs w:val="24"/>
        </w:rPr>
        <w:t>improving</w:t>
      </w:r>
      <w:r w:rsidR="00AB2626">
        <w:rPr>
          <w:rFonts w:ascii="Corbel" w:hAnsi="Corbel"/>
          <w:sz w:val="24"/>
          <w:szCs w:val="24"/>
        </w:rPr>
        <w:t xml:space="preserve"> a number of our systems and processes. In a nutshell, the aim is to provide you with </w:t>
      </w:r>
      <w:r w:rsidR="00407138">
        <w:rPr>
          <w:rFonts w:ascii="Corbel" w:hAnsi="Corbel"/>
          <w:sz w:val="24"/>
          <w:szCs w:val="24"/>
        </w:rPr>
        <w:t>the best possible services, advice and guidance, from booking, which will provide you with everything you need to reach your potential</w:t>
      </w:r>
      <w:r w:rsidR="00AB2626">
        <w:rPr>
          <w:rFonts w:ascii="Corbel" w:hAnsi="Corbel"/>
          <w:sz w:val="24"/>
          <w:szCs w:val="24"/>
        </w:rPr>
        <w:t xml:space="preserve">. As we make our improvements, we’re </w:t>
      </w:r>
      <w:r w:rsidR="00407138">
        <w:rPr>
          <w:rFonts w:ascii="Corbel" w:hAnsi="Corbel"/>
          <w:sz w:val="24"/>
          <w:szCs w:val="24"/>
        </w:rPr>
        <w:t xml:space="preserve">also </w:t>
      </w:r>
      <w:r w:rsidR="00AB2626">
        <w:rPr>
          <w:rFonts w:ascii="Corbel" w:hAnsi="Corbel"/>
          <w:sz w:val="24"/>
          <w:szCs w:val="24"/>
        </w:rPr>
        <w:t xml:space="preserve">continually testing them with our </w:t>
      </w:r>
      <w:hyperlink r:id="rId7" w:history="1">
        <w:r w:rsidR="00AB2626" w:rsidRPr="00AB2626">
          <w:rPr>
            <w:rStyle w:val="Hyperlink"/>
            <w:rFonts w:ascii="Corbel" w:hAnsi="Corbel"/>
            <w:sz w:val="24"/>
            <w:szCs w:val="24"/>
          </w:rPr>
          <w:t>new RH100 panel</w:t>
        </w:r>
      </w:hyperlink>
      <w:r w:rsidR="00AB2626">
        <w:rPr>
          <w:rFonts w:ascii="Corbel" w:hAnsi="Corbel"/>
          <w:sz w:val="24"/>
          <w:szCs w:val="24"/>
        </w:rPr>
        <w:t xml:space="preserve"> to make sure they’ll meet your needs. </w:t>
      </w:r>
    </w:p>
    <w:sectPr w:rsidR="00AB01C8" w:rsidRPr="00AB01C8" w:rsidSect="006638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F5E4D"/>
    <w:multiLevelType w:val="hybridMultilevel"/>
    <w:tmpl w:val="DA381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A01C1A"/>
    <w:multiLevelType w:val="hybridMultilevel"/>
    <w:tmpl w:val="BF22E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350F2E"/>
    <w:multiLevelType w:val="hybridMultilevel"/>
    <w:tmpl w:val="3168BAC6"/>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EF0"/>
    <w:rsid w:val="000E145C"/>
    <w:rsid w:val="00107B94"/>
    <w:rsid w:val="001B3498"/>
    <w:rsid w:val="00250EF0"/>
    <w:rsid w:val="002637A7"/>
    <w:rsid w:val="00407138"/>
    <w:rsid w:val="0047360B"/>
    <w:rsid w:val="00483922"/>
    <w:rsid w:val="004A5F3E"/>
    <w:rsid w:val="00592097"/>
    <w:rsid w:val="00663875"/>
    <w:rsid w:val="006E634D"/>
    <w:rsid w:val="00914FCF"/>
    <w:rsid w:val="00925268"/>
    <w:rsid w:val="009700AA"/>
    <w:rsid w:val="009A4805"/>
    <w:rsid w:val="009B1650"/>
    <w:rsid w:val="009D41C3"/>
    <w:rsid w:val="00A822AF"/>
    <w:rsid w:val="00AB01C8"/>
    <w:rsid w:val="00AB2626"/>
    <w:rsid w:val="00AE530D"/>
    <w:rsid w:val="00B9450A"/>
    <w:rsid w:val="00C04AB6"/>
    <w:rsid w:val="00C73629"/>
    <w:rsid w:val="00D403E2"/>
    <w:rsid w:val="00EB4395"/>
    <w:rsid w:val="00EF2C7D"/>
    <w:rsid w:val="00FF3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7D6202-6204-4B25-9834-BEC56F9B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B01C8"/>
    <w:pPr>
      <w:ind w:left="720"/>
      <w:contextualSpacing/>
    </w:pPr>
  </w:style>
  <w:style w:type="character" w:styleId="Hyperlink">
    <w:name w:val="Hyperlink"/>
    <w:basedOn w:val="DefaultParagraphFont"/>
    <w:uiPriority w:val="99"/>
    <w:unhideWhenUsed/>
    <w:rsid w:val="00AB26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509918">
      <w:bodyDiv w:val="1"/>
      <w:marLeft w:val="0"/>
      <w:marRight w:val="0"/>
      <w:marTop w:val="0"/>
      <w:marBottom w:val="0"/>
      <w:divBdr>
        <w:top w:val="none" w:sz="0" w:space="0" w:color="auto"/>
        <w:left w:val="none" w:sz="0" w:space="0" w:color="auto"/>
        <w:bottom w:val="none" w:sz="0" w:space="0" w:color="auto"/>
        <w:right w:val="none" w:sz="0" w:space="0" w:color="auto"/>
      </w:divBdr>
    </w:div>
    <w:div w:id="11752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yalholloway.ac.uk/students/news-events/rh-100/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ourdata\WorkingGroups\Dashboards\Reporting%20Strategy\Financial%20information%20reporting\201617\Financial%20Information%20on%20the%20web%20-%202015-16%20HESA%20Income%20%20Expenditur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ourdata\WorkingGroups\Dashboards\Reporting%20Strategy\Financial%20information%20reporting\201617\Financial%20Information%20on%20the%20web%20-%202015-16%20HESA%20Income%20%20Expenditur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Income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'2014-15 Income £'!$H$4</c:f>
              <c:strCache>
                <c:ptCount val="1"/>
                <c:pt idx="0">
                  <c:v>2014/15</c:v>
                </c:pt>
              </c:strCache>
            </c:strRef>
          </c:tx>
          <c:spPr>
            <a:solidFill>
              <a:schemeClr val="accent1"/>
            </a:solidFill>
            <a:ln>
              <a:noFill/>
            </a:ln>
            <a:effectLst/>
          </c:spPr>
          <c:invertIfNegative val="0"/>
          <c:cat>
            <c:strRef>
              <c:f>'2014-15 Income £'!$G$5:$G$9</c:f>
              <c:strCache>
                <c:ptCount val="5"/>
                <c:pt idx="0">
                  <c:v>Funding Body Grants</c:v>
                </c:pt>
                <c:pt idx="1">
                  <c:v>Tuition Fees</c:v>
                </c:pt>
                <c:pt idx="2">
                  <c:v>Research Grants &amp; Contracts</c:v>
                </c:pt>
                <c:pt idx="3">
                  <c:v>Other Income</c:v>
                </c:pt>
                <c:pt idx="4">
                  <c:v>Investments, donations and endowments</c:v>
                </c:pt>
              </c:strCache>
            </c:strRef>
          </c:cat>
          <c:val>
            <c:numRef>
              <c:f>'2014-15 Income £'!$H$5:$H$9</c:f>
              <c:numCache>
                <c:formatCode>#,##0.00;\(#,##0.00\)</c:formatCode>
                <c:ptCount val="5"/>
                <c:pt idx="0">
                  <c:v>22.190999999999999</c:v>
                </c:pt>
                <c:pt idx="1">
                  <c:v>93.552999999999997</c:v>
                </c:pt>
                <c:pt idx="2">
                  <c:v>14.898</c:v>
                </c:pt>
                <c:pt idx="3">
                  <c:v>27.667000000000002</c:v>
                </c:pt>
                <c:pt idx="4">
                  <c:v>1.9379999999999999</c:v>
                </c:pt>
              </c:numCache>
            </c:numRef>
          </c:val>
        </c:ser>
        <c:ser>
          <c:idx val="1"/>
          <c:order val="1"/>
          <c:tx>
            <c:strRef>
              <c:f>'2014-15 Income £'!$I$4</c:f>
              <c:strCache>
                <c:ptCount val="1"/>
                <c:pt idx="0">
                  <c:v>2015/16</c:v>
                </c:pt>
              </c:strCache>
            </c:strRef>
          </c:tx>
          <c:spPr>
            <a:solidFill>
              <a:srgbClr val="C00000"/>
            </a:solidFill>
            <a:ln>
              <a:noFill/>
            </a:ln>
            <a:effectLst/>
          </c:spPr>
          <c:invertIfNegative val="0"/>
          <c:cat>
            <c:strRef>
              <c:f>'2014-15 Income £'!$G$5:$G$9</c:f>
              <c:strCache>
                <c:ptCount val="5"/>
                <c:pt idx="0">
                  <c:v>Funding Body Grants</c:v>
                </c:pt>
                <c:pt idx="1">
                  <c:v>Tuition Fees</c:v>
                </c:pt>
                <c:pt idx="2">
                  <c:v>Research Grants &amp; Contracts</c:v>
                </c:pt>
                <c:pt idx="3">
                  <c:v>Other Income</c:v>
                </c:pt>
                <c:pt idx="4">
                  <c:v>Investments, donations and endowments</c:v>
                </c:pt>
              </c:strCache>
            </c:strRef>
          </c:cat>
          <c:val>
            <c:numRef>
              <c:f>'2014-15 Income £'!$I$5:$I$9</c:f>
              <c:numCache>
                <c:formatCode>#,##0.00;\(#,##0.00\)</c:formatCode>
                <c:ptCount val="5"/>
                <c:pt idx="0">
                  <c:v>20.414999999999999</c:v>
                </c:pt>
                <c:pt idx="1">
                  <c:v>96.763999999999996</c:v>
                </c:pt>
                <c:pt idx="2">
                  <c:v>16.309000000000001</c:v>
                </c:pt>
                <c:pt idx="3">
                  <c:v>26.829000000000001</c:v>
                </c:pt>
                <c:pt idx="4">
                  <c:v>3.22</c:v>
                </c:pt>
              </c:numCache>
            </c:numRef>
          </c:val>
        </c:ser>
        <c:dLbls>
          <c:showLegendKey val="0"/>
          <c:showVal val="0"/>
          <c:showCatName val="0"/>
          <c:showSerName val="0"/>
          <c:showPercent val="0"/>
          <c:showBubbleSize val="0"/>
        </c:dLbls>
        <c:gapWidth val="219"/>
        <c:overlap val="-27"/>
        <c:axId val="242333104"/>
        <c:axId val="242333888"/>
      </c:barChart>
      <c:catAx>
        <c:axId val="24233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333888"/>
        <c:crosses val="autoZero"/>
        <c:auto val="1"/>
        <c:lblAlgn val="ctr"/>
        <c:lblOffset val="100"/>
        <c:noMultiLvlLbl val="0"/>
      </c:catAx>
      <c:valAx>
        <c:axId val="242333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233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Expenditure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'2014-15 Expenditure'!$N$2</c:f>
              <c:strCache>
                <c:ptCount val="1"/>
                <c:pt idx="0">
                  <c:v>2014/15</c:v>
                </c:pt>
              </c:strCache>
            </c:strRef>
          </c:tx>
          <c:spPr>
            <a:solidFill>
              <a:schemeClr val="accent1"/>
            </a:solidFill>
            <a:ln>
              <a:noFill/>
            </a:ln>
            <a:effectLst/>
          </c:spPr>
          <c:invertIfNegative val="0"/>
          <c:cat>
            <c:strRef>
              <c:f>'2014-15 Expenditure'!$M$3:$M$10</c:f>
              <c:strCache>
                <c:ptCount val="8"/>
                <c:pt idx="0">
                  <c:v>Academic Services</c:v>
                </c:pt>
                <c:pt idx="1">
                  <c:v>Research Grants and Contracts</c:v>
                </c:pt>
                <c:pt idx="2">
                  <c:v>Premises</c:v>
                </c:pt>
                <c:pt idx="3">
                  <c:v>Residences and Catering</c:v>
                </c:pt>
                <c:pt idx="4">
                  <c:v>Central Adminstration and Services</c:v>
                </c:pt>
                <c:pt idx="5">
                  <c:v>Student Services Support and Recruitment</c:v>
                </c:pt>
                <c:pt idx="6">
                  <c:v>Academic Departments</c:v>
                </c:pt>
                <c:pt idx="7">
                  <c:v>Other</c:v>
                </c:pt>
              </c:strCache>
            </c:strRef>
          </c:cat>
          <c:val>
            <c:numRef>
              <c:f>'2014-15 Expenditure'!$N$3:$N$10</c:f>
              <c:numCache>
                <c:formatCode>#,##0.00;\(#,##0.00\)</c:formatCode>
                <c:ptCount val="8"/>
                <c:pt idx="0">
                  <c:v>12.286</c:v>
                </c:pt>
                <c:pt idx="1">
                  <c:v>10.83</c:v>
                </c:pt>
                <c:pt idx="2">
                  <c:v>14.677</c:v>
                </c:pt>
                <c:pt idx="3">
                  <c:v>18.352</c:v>
                </c:pt>
                <c:pt idx="4">
                  <c:v>8.673</c:v>
                </c:pt>
                <c:pt idx="5">
                  <c:v>20.431000000000001</c:v>
                </c:pt>
                <c:pt idx="6">
                  <c:v>60.838000000000001</c:v>
                </c:pt>
                <c:pt idx="7">
                  <c:v>0.441</c:v>
                </c:pt>
              </c:numCache>
            </c:numRef>
          </c:val>
        </c:ser>
        <c:ser>
          <c:idx val="1"/>
          <c:order val="1"/>
          <c:tx>
            <c:strRef>
              <c:f>'2014-15 Expenditure'!$O$2</c:f>
              <c:strCache>
                <c:ptCount val="1"/>
                <c:pt idx="0">
                  <c:v>2015/16</c:v>
                </c:pt>
              </c:strCache>
            </c:strRef>
          </c:tx>
          <c:spPr>
            <a:solidFill>
              <a:srgbClr val="C00000"/>
            </a:solidFill>
            <a:ln>
              <a:noFill/>
            </a:ln>
            <a:effectLst/>
          </c:spPr>
          <c:invertIfNegative val="0"/>
          <c:cat>
            <c:strRef>
              <c:f>'2014-15 Expenditure'!$M$3:$M$10</c:f>
              <c:strCache>
                <c:ptCount val="8"/>
                <c:pt idx="0">
                  <c:v>Academic Services</c:v>
                </c:pt>
                <c:pt idx="1">
                  <c:v>Research Grants and Contracts</c:v>
                </c:pt>
                <c:pt idx="2">
                  <c:v>Premises</c:v>
                </c:pt>
                <c:pt idx="3">
                  <c:v>Residences and Catering</c:v>
                </c:pt>
                <c:pt idx="4">
                  <c:v>Central Adminstration and Services</c:v>
                </c:pt>
                <c:pt idx="5">
                  <c:v>Student Services Support and Recruitment</c:v>
                </c:pt>
                <c:pt idx="6">
                  <c:v>Academic Departments</c:v>
                </c:pt>
                <c:pt idx="7">
                  <c:v>Other</c:v>
                </c:pt>
              </c:strCache>
            </c:strRef>
          </c:cat>
          <c:val>
            <c:numRef>
              <c:f>'2014-15 Expenditure'!$O$3:$O$10</c:f>
              <c:numCache>
                <c:formatCode>#,##0.00;\(#,##0.00\)</c:formatCode>
                <c:ptCount val="8"/>
                <c:pt idx="0">
                  <c:v>14.884</c:v>
                </c:pt>
                <c:pt idx="1">
                  <c:v>10.67</c:v>
                </c:pt>
                <c:pt idx="2">
                  <c:v>15.586</c:v>
                </c:pt>
                <c:pt idx="3">
                  <c:v>17.364000000000001</c:v>
                </c:pt>
                <c:pt idx="4">
                  <c:v>9.5920000000000005</c:v>
                </c:pt>
                <c:pt idx="5">
                  <c:v>20.538</c:v>
                </c:pt>
                <c:pt idx="6">
                  <c:v>63.902999999999999</c:v>
                </c:pt>
                <c:pt idx="7">
                  <c:v>0.69299999999999995</c:v>
                </c:pt>
              </c:numCache>
            </c:numRef>
          </c:val>
        </c:ser>
        <c:dLbls>
          <c:showLegendKey val="0"/>
          <c:showVal val="0"/>
          <c:showCatName val="0"/>
          <c:showSerName val="0"/>
          <c:showPercent val="0"/>
          <c:showBubbleSize val="0"/>
        </c:dLbls>
        <c:gapWidth val="219"/>
        <c:overlap val="-27"/>
        <c:axId val="311236640"/>
        <c:axId val="309702864"/>
      </c:barChart>
      <c:catAx>
        <c:axId val="311236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702864"/>
        <c:crosses val="autoZero"/>
        <c:auto val="1"/>
        <c:lblAlgn val="ctr"/>
        <c:lblOffset val="100"/>
        <c:noMultiLvlLbl val="0"/>
      </c:catAx>
      <c:valAx>
        <c:axId val="309702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1236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Wallis, Alison</dc:creator>
  <cp:lastModifiedBy>Parris, Abigail</cp:lastModifiedBy>
  <cp:revision>2</cp:revision>
  <dcterms:created xsi:type="dcterms:W3CDTF">2017-02-02T10:08:00Z</dcterms:created>
  <dcterms:modified xsi:type="dcterms:W3CDTF">2017-02-02T10:08:00Z</dcterms:modified>
</cp:coreProperties>
</file>